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25EA8">
      <w:pPr>
        <w:pStyle w:val="BodyText"/>
        <w:jc w:val="center"/>
        <w:rPr>
          <w:b/>
          <w:sz w:val="32"/>
        </w:rPr>
      </w:pPr>
    </w:p>
    <w:p w:rsidR="00000000" w:rsidRDefault="00025EA8">
      <w:pPr>
        <w:pStyle w:val="BodyText"/>
        <w:jc w:val="center"/>
        <w:rPr>
          <w:b/>
          <w:sz w:val="32"/>
        </w:rPr>
      </w:pPr>
    </w:p>
    <w:p w:rsidR="00000000" w:rsidRDefault="00025EA8">
      <w:pPr>
        <w:pStyle w:val="BodyText"/>
        <w:jc w:val="center"/>
        <w:rPr>
          <w:b/>
          <w:sz w:val="32"/>
        </w:rPr>
      </w:pPr>
      <w:r>
        <w:rPr>
          <w:b/>
          <w:sz w:val="32"/>
        </w:rPr>
        <w:t>Maldives National Qualifications Framework</w:t>
      </w:r>
    </w:p>
    <w:p w:rsidR="00000000" w:rsidRDefault="00025EA8">
      <w:pPr>
        <w:pStyle w:val="BodyText"/>
      </w:pPr>
    </w:p>
    <w:p w:rsidR="00000000" w:rsidRDefault="00025EA8">
      <w:pPr>
        <w:pStyle w:val="BodyText"/>
      </w:pPr>
    </w:p>
    <w:p w:rsidR="00000000" w:rsidRDefault="00025EA8">
      <w:pPr>
        <w:pStyle w:val="BodyText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3.6pt;margin-top:7.05pt;width:100.8pt;height:28.8pt;z-index:251653120;mso-position-horizontal:absolute;mso-position-horizontal-relative:text;mso-position-vertical:absolute;mso-position-vertical-relative:text" o:allowincell="f" stroked="f">
            <v:textbox>
              <w:txbxContent>
                <w:p w:rsidR="00000000" w:rsidRDefault="00025EA8">
                  <w:pPr>
                    <w:pStyle w:val="Heading3"/>
                  </w:pPr>
                  <w:r>
                    <w:t>Introduction</w:t>
                  </w:r>
                </w:p>
              </w:txbxContent>
            </v:textbox>
          </v:shape>
        </w:pict>
      </w: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>That our human resource is the best asset of the country has been</w:t>
      </w:r>
      <w:r>
        <w:rPr>
          <w:sz w:val="24"/>
        </w:rPr>
        <w:t xml:space="preserve"> said oftentimes to the extent of being </w:t>
      </w:r>
      <w:r>
        <w:rPr>
          <w:sz w:val="24"/>
        </w:rPr>
        <w:t>hackneyed</w:t>
      </w:r>
      <w:r>
        <w:rPr>
          <w:sz w:val="24"/>
        </w:rPr>
        <w:t xml:space="preserve">. </w:t>
      </w:r>
      <w:r>
        <w:rPr>
          <w:sz w:val="24"/>
        </w:rPr>
        <w:t>L</w:t>
      </w:r>
      <w:r>
        <w:rPr>
          <w:sz w:val="24"/>
        </w:rPr>
        <w:t xml:space="preserve">imited </w:t>
      </w:r>
      <w:r>
        <w:rPr>
          <w:sz w:val="24"/>
        </w:rPr>
        <w:t>by its physical r</w:t>
      </w:r>
      <w:r>
        <w:rPr>
          <w:sz w:val="24"/>
        </w:rPr>
        <w:t xml:space="preserve">esources and economic power, </w:t>
      </w:r>
      <w:r>
        <w:rPr>
          <w:sz w:val="24"/>
        </w:rPr>
        <w:t>we</w:t>
      </w:r>
      <w:r>
        <w:rPr>
          <w:sz w:val="24"/>
        </w:rPr>
        <w:t xml:space="preserve"> must</w:t>
      </w:r>
      <w:r>
        <w:rPr>
          <w:sz w:val="24"/>
        </w:rPr>
        <w:t xml:space="preserve"> </w:t>
      </w:r>
      <w:r>
        <w:rPr>
          <w:sz w:val="24"/>
        </w:rPr>
        <w:t xml:space="preserve">look to the skills and knowledge of our people to undergird our economic and social </w:t>
      </w:r>
      <w:r>
        <w:rPr>
          <w:sz w:val="24"/>
        </w:rPr>
        <w:t>development</w:t>
      </w:r>
      <w:r>
        <w:rPr>
          <w:sz w:val="24"/>
        </w:rPr>
        <w:t xml:space="preserve">. </w:t>
      </w:r>
      <w:r>
        <w:rPr>
          <w:sz w:val="24"/>
        </w:rPr>
        <w:t xml:space="preserve"> More and more people with </w:t>
      </w:r>
      <w:r>
        <w:rPr>
          <w:sz w:val="24"/>
        </w:rPr>
        <w:t>relevant skills will become critical to sustain the strides of development</w:t>
      </w:r>
      <w:r>
        <w:rPr>
          <w:sz w:val="24"/>
        </w:rPr>
        <w:t xml:space="preserve"> as knowledge and intellectual skills become more importan</w:t>
      </w:r>
      <w:r>
        <w:rPr>
          <w:sz w:val="24"/>
        </w:rPr>
        <w:t xml:space="preserve">t </w:t>
      </w:r>
      <w:r>
        <w:rPr>
          <w:sz w:val="24"/>
        </w:rPr>
        <w:t xml:space="preserve">than manual </w:t>
      </w:r>
      <w:proofErr w:type="spellStart"/>
      <w:r>
        <w:rPr>
          <w:sz w:val="24"/>
        </w:rPr>
        <w:t>labour</w:t>
      </w:r>
      <w:proofErr w:type="spellEnd"/>
      <w:r>
        <w:rPr>
          <w:sz w:val="24"/>
        </w:rPr>
        <w:t xml:space="preserve"> </w:t>
      </w:r>
      <w:r>
        <w:rPr>
          <w:sz w:val="24"/>
        </w:rPr>
        <w:t>in a technological era.</w:t>
      </w:r>
    </w:p>
    <w:p w:rsidR="00000000" w:rsidRDefault="00025EA8">
      <w:pPr>
        <w:pStyle w:val="BodyText"/>
        <w:rPr>
          <w:sz w:val="24"/>
        </w:rPr>
      </w:pP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 xml:space="preserve">As education grows in importance, </w:t>
      </w:r>
      <w:r>
        <w:rPr>
          <w:sz w:val="24"/>
        </w:rPr>
        <w:t>so does the w</w:t>
      </w:r>
      <w:r>
        <w:rPr>
          <w:sz w:val="24"/>
        </w:rPr>
        <w:t xml:space="preserve">ay we </w:t>
      </w:r>
      <w:proofErr w:type="spellStart"/>
      <w:r>
        <w:rPr>
          <w:sz w:val="24"/>
        </w:rPr>
        <w:t>recogni</w:t>
      </w:r>
      <w:r>
        <w:rPr>
          <w:sz w:val="24"/>
        </w:rPr>
        <w:t>se</w:t>
      </w:r>
      <w:proofErr w:type="spellEnd"/>
      <w:r>
        <w:rPr>
          <w:sz w:val="24"/>
        </w:rPr>
        <w:t xml:space="preserve"> that certain learning outcomes have been reached.  Qualificati</w:t>
      </w:r>
      <w:r>
        <w:rPr>
          <w:sz w:val="24"/>
        </w:rPr>
        <w:t xml:space="preserve">ons provide </w:t>
      </w:r>
      <w:r>
        <w:rPr>
          <w:sz w:val="24"/>
        </w:rPr>
        <w:t>such recognition</w:t>
      </w:r>
      <w:r>
        <w:rPr>
          <w:sz w:val="24"/>
        </w:rPr>
        <w:t xml:space="preserve"> of a person</w:t>
      </w:r>
      <w:r>
        <w:rPr>
          <w:sz w:val="24"/>
        </w:rPr>
        <w:t xml:space="preserve">’s skills and </w:t>
      </w:r>
      <w:r>
        <w:rPr>
          <w:sz w:val="24"/>
        </w:rPr>
        <w:t>learning</w:t>
      </w:r>
      <w:r>
        <w:rPr>
          <w:sz w:val="24"/>
        </w:rPr>
        <w:t>.  A qualification fram</w:t>
      </w:r>
      <w:r>
        <w:rPr>
          <w:sz w:val="24"/>
        </w:rPr>
        <w:t xml:space="preserve">ework ensures that </w:t>
      </w:r>
      <w:r>
        <w:rPr>
          <w:sz w:val="24"/>
        </w:rPr>
        <w:t xml:space="preserve">the education achieved is </w:t>
      </w:r>
      <w:r>
        <w:rPr>
          <w:sz w:val="24"/>
        </w:rPr>
        <w:t>easily understood by the students, employers and education providers.  This paper outlines such a framework developed by reflecting on the local sit</w:t>
      </w:r>
      <w:r>
        <w:rPr>
          <w:sz w:val="24"/>
        </w:rPr>
        <w:t>uations and overseas developments.</w:t>
      </w:r>
      <w:r>
        <w:rPr>
          <w:sz w:val="24"/>
        </w:rPr>
        <w:t xml:space="preserve"> </w:t>
      </w:r>
      <w:r>
        <w:rPr>
          <w:sz w:val="24"/>
        </w:rPr>
        <w:t>The focus of the paper is on</w:t>
      </w:r>
      <w:r>
        <w:rPr>
          <w:sz w:val="24"/>
        </w:rPr>
        <w:t xml:space="preserve"> qualifications, that is, recognition of achievement, rather than teaching, learning and assessment.</w:t>
      </w:r>
    </w:p>
    <w:p w:rsidR="00000000" w:rsidRDefault="00025EA8">
      <w:pPr>
        <w:pStyle w:val="BodyText"/>
        <w:rPr>
          <w:sz w:val="24"/>
        </w:rPr>
      </w:pPr>
    </w:p>
    <w:p w:rsidR="00000000" w:rsidRDefault="00025EA8">
      <w:pPr>
        <w:pStyle w:val="BodyText"/>
        <w:ind w:left="90"/>
        <w:rPr>
          <w:sz w:val="24"/>
        </w:rPr>
      </w:pPr>
      <w:r>
        <w:rPr>
          <w:noProof/>
          <w:sz w:val="24"/>
        </w:rPr>
        <w:pict>
          <v:shape id="_x0000_s1090" type="#_x0000_t202" style="position:absolute;left:0;text-align:left;margin-left:-3.6pt;margin-top:9.05pt;width:100.8pt;height:28.8pt;z-index:251654144;mso-position-horizontal:absolute;mso-position-horizontal-relative:text;mso-position-vertical:absolute;mso-position-vertical-relative:text" o:allowincell="f" stroked="f">
            <v:textbox style="mso-next-textbox:#_x0000_s1090">
              <w:txbxContent>
                <w:p w:rsidR="00000000" w:rsidRDefault="00025EA8">
                  <w:pPr>
                    <w:pStyle w:val="Heading3"/>
                  </w:pPr>
                  <w:r>
                    <w:t>Rationale</w:t>
                  </w:r>
                </w:p>
              </w:txbxContent>
            </v:textbox>
          </v:shape>
        </w:pict>
      </w: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>As the school</w:t>
      </w:r>
      <w:r>
        <w:rPr>
          <w:sz w:val="24"/>
        </w:rPr>
        <w:t>-leaving population increases, employers are using qualifi</w:t>
      </w:r>
      <w:r>
        <w:rPr>
          <w:sz w:val="24"/>
        </w:rPr>
        <w:t xml:space="preserve">cations to identify candidates for various jobs. As a result, qualifications are </w:t>
      </w:r>
      <w:r>
        <w:rPr>
          <w:sz w:val="24"/>
        </w:rPr>
        <w:t>being sought by more a</w:t>
      </w:r>
      <w:r>
        <w:rPr>
          <w:sz w:val="24"/>
        </w:rPr>
        <w:t xml:space="preserve">nd more people.  Concurrently, </w:t>
      </w:r>
      <w:r>
        <w:rPr>
          <w:sz w:val="24"/>
        </w:rPr>
        <w:t xml:space="preserve">a growing </w:t>
      </w:r>
      <w:proofErr w:type="gramStart"/>
      <w:r>
        <w:rPr>
          <w:sz w:val="24"/>
        </w:rPr>
        <w:t>number</w:t>
      </w:r>
      <w:proofErr w:type="gramEnd"/>
      <w:r>
        <w:rPr>
          <w:sz w:val="24"/>
        </w:rPr>
        <w:t xml:space="preserve"> of </w:t>
      </w:r>
      <w:r>
        <w:rPr>
          <w:sz w:val="24"/>
        </w:rPr>
        <w:t>education</w:t>
      </w:r>
      <w:r>
        <w:rPr>
          <w:sz w:val="24"/>
        </w:rPr>
        <w:t xml:space="preserve"> providers </w:t>
      </w:r>
      <w:r>
        <w:rPr>
          <w:sz w:val="24"/>
        </w:rPr>
        <w:t xml:space="preserve">advertise </w:t>
      </w:r>
      <w:r>
        <w:rPr>
          <w:sz w:val="24"/>
        </w:rPr>
        <w:t>diverse</w:t>
      </w:r>
      <w:r>
        <w:rPr>
          <w:sz w:val="24"/>
        </w:rPr>
        <w:t xml:space="preserve"> </w:t>
      </w:r>
      <w:r>
        <w:rPr>
          <w:sz w:val="24"/>
        </w:rPr>
        <w:t xml:space="preserve">courses, some of which are of very good standard, </w:t>
      </w:r>
      <w:r>
        <w:rPr>
          <w:sz w:val="24"/>
        </w:rPr>
        <w:t>while</w:t>
      </w:r>
      <w:r>
        <w:rPr>
          <w:sz w:val="24"/>
        </w:rPr>
        <w:t xml:space="preserve"> others are of </w:t>
      </w:r>
      <w:r>
        <w:rPr>
          <w:sz w:val="24"/>
        </w:rPr>
        <w:t>questionable</w:t>
      </w:r>
      <w:r>
        <w:rPr>
          <w:sz w:val="24"/>
        </w:rPr>
        <w:t xml:space="preserve"> </w:t>
      </w:r>
      <w:r>
        <w:rPr>
          <w:sz w:val="24"/>
        </w:rPr>
        <w:t>standing</w:t>
      </w:r>
      <w:r>
        <w:rPr>
          <w:sz w:val="24"/>
        </w:rPr>
        <w:t xml:space="preserve">. </w:t>
      </w:r>
      <w:r>
        <w:rPr>
          <w:sz w:val="24"/>
        </w:rPr>
        <w:t>In fact,</w:t>
      </w:r>
      <w:r>
        <w:rPr>
          <w:sz w:val="24"/>
        </w:rPr>
        <w:t xml:space="preserve"> Maldives is situated in a sea of </w:t>
      </w:r>
      <w:r>
        <w:rPr>
          <w:sz w:val="24"/>
        </w:rPr>
        <w:t xml:space="preserve">varying </w:t>
      </w:r>
      <w:r>
        <w:rPr>
          <w:sz w:val="24"/>
        </w:rPr>
        <w:t xml:space="preserve">academic standards, with some regional university degrees being unacceptable </w:t>
      </w:r>
      <w:r>
        <w:rPr>
          <w:sz w:val="24"/>
        </w:rPr>
        <w:t>across the national border</w:t>
      </w:r>
      <w:r>
        <w:rPr>
          <w:sz w:val="24"/>
        </w:rPr>
        <w:t xml:space="preserve">.  </w:t>
      </w:r>
      <w:r>
        <w:rPr>
          <w:sz w:val="24"/>
        </w:rPr>
        <w:t>As higher educ</w:t>
      </w:r>
      <w:r>
        <w:rPr>
          <w:sz w:val="24"/>
        </w:rPr>
        <w:t>ation becomes a mass phenomenon</w:t>
      </w:r>
      <w:r>
        <w:rPr>
          <w:sz w:val="24"/>
        </w:rPr>
        <w:t xml:space="preserve"> and univers</w:t>
      </w:r>
      <w:r>
        <w:rPr>
          <w:sz w:val="24"/>
        </w:rPr>
        <w:t>ities are forced to self-fund an increasing p</w:t>
      </w:r>
      <w:r>
        <w:rPr>
          <w:sz w:val="24"/>
        </w:rPr>
        <w:t>roportion</w:t>
      </w:r>
      <w:r>
        <w:rPr>
          <w:sz w:val="24"/>
        </w:rPr>
        <w:t xml:space="preserve"> of their expenditure, </w:t>
      </w:r>
      <w:r>
        <w:rPr>
          <w:sz w:val="24"/>
        </w:rPr>
        <w:t>candidates are being off</w:t>
      </w:r>
      <w:r>
        <w:rPr>
          <w:sz w:val="24"/>
        </w:rPr>
        <w:t>er</w:t>
      </w:r>
      <w:r>
        <w:rPr>
          <w:sz w:val="24"/>
        </w:rPr>
        <w:t xml:space="preserve">ed </w:t>
      </w:r>
      <w:r>
        <w:rPr>
          <w:sz w:val="24"/>
        </w:rPr>
        <w:t>qualifications</w:t>
      </w:r>
      <w:r>
        <w:rPr>
          <w:sz w:val="24"/>
        </w:rPr>
        <w:t xml:space="preserve"> </w:t>
      </w:r>
      <w:r>
        <w:rPr>
          <w:sz w:val="24"/>
        </w:rPr>
        <w:t>of dubious value.</w:t>
      </w:r>
      <w:r>
        <w:rPr>
          <w:sz w:val="24"/>
        </w:rPr>
        <w:t xml:space="preserve"> The situation is likely to get worse</w:t>
      </w:r>
      <w:r>
        <w:rPr>
          <w:sz w:val="24"/>
        </w:rPr>
        <w:t xml:space="preserve"> in the future</w:t>
      </w:r>
      <w:r>
        <w:rPr>
          <w:sz w:val="24"/>
        </w:rPr>
        <w:t>.</w:t>
      </w:r>
      <w:r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 xml:space="preserve">In the Maldives, the </w:t>
      </w:r>
      <w:r>
        <w:rPr>
          <w:sz w:val="24"/>
        </w:rPr>
        <w:t xml:space="preserve">independent </w:t>
      </w:r>
      <w:r>
        <w:rPr>
          <w:sz w:val="24"/>
        </w:rPr>
        <w:t>growth of pos</w:t>
      </w:r>
      <w:r>
        <w:rPr>
          <w:sz w:val="24"/>
        </w:rPr>
        <w:t>t-secondary institu</w:t>
      </w:r>
      <w:r>
        <w:rPr>
          <w:sz w:val="24"/>
        </w:rPr>
        <w:t>tes</w:t>
      </w:r>
      <w:r>
        <w:rPr>
          <w:sz w:val="24"/>
        </w:rPr>
        <w:t>, have led to</w:t>
      </w:r>
      <w:r>
        <w:rPr>
          <w:sz w:val="24"/>
        </w:rPr>
        <w:t xml:space="preserve"> a confusion </w:t>
      </w:r>
      <w:r>
        <w:rPr>
          <w:sz w:val="24"/>
        </w:rPr>
        <w:t xml:space="preserve">of nomenclature regarding </w:t>
      </w:r>
      <w:r>
        <w:rPr>
          <w:sz w:val="24"/>
        </w:rPr>
        <w:t>qualifications.  Fo</w:t>
      </w:r>
      <w:r>
        <w:rPr>
          <w:sz w:val="24"/>
        </w:rPr>
        <w:t>r example, one ins</w:t>
      </w:r>
      <w:r>
        <w:rPr>
          <w:sz w:val="24"/>
        </w:rPr>
        <w:t>titute may off</w:t>
      </w:r>
      <w:r>
        <w:rPr>
          <w:sz w:val="24"/>
        </w:rPr>
        <w:t>er a diploma course which involves four</w:t>
      </w:r>
      <w:r>
        <w:rPr>
          <w:sz w:val="24"/>
        </w:rPr>
        <w:t xml:space="preserve"> </w:t>
      </w:r>
      <w:r>
        <w:rPr>
          <w:sz w:val="24"/>
        </w:rPr>
        <w:t>years of full-time study</w:t>
      </w:r>
      <w:r>
        <w:rPr>
          <w:sz w:val="24"/>
        </w:rPr>
        <w:t xml:space="preserve"> </w:t>
      </w:r>
      <w:r>
        <w:rPr>
          <w:sz w:val="24"/>
        </w:rPr>
        <w:t>after O Levels.</w:t>
      </w:r>
      <w:r>
        <w:rPr>
          <w:sz w:val="24"/>
        </w:rPr>
        <w:t xml:space="preserve">  Another </w:t>
      </w:r>
    </w:p>
    <w:p w:rsidR="00000000" w:rsidRDefault="00025EA8">
      <w:pPr>
        <w:pStyle w:val="BodyText"/>
        <w:jc w:val="center"/>
        <w:rPr>
          <w:noProof/>
          <w:sz w:val="24"/>
        </w:rPr>
      </w:pPr>
      <w:r>
        <w:rPr>
          <w:sz w:val="24"/>
        </w:rPr>
        <w:br w:type="page"/>
      </w:r>
      <w:r>
        <w:rPr>
          <w:b/>
          <w:sz w:val="32"/>
        </w:rPr>
        <w:lastRenderedPageBreak/>
        <w:t>National Qualifications Framework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pict>
          <v:group id="_x0000_s1096" style="position:absolute;left:0;text-align:left;margin-left:-34.8pt;margin-top:62.4pt;width:496.8pt;height:662.4pt;z-index:251659264;mso-position-horizontal-relative:text;mso-position-vertical-relative:text" coordorigin="864,2160" coordsize="9936,13248" o:allowincell="f">
            <v:rect id="_x0000_s1097" style="position:absolute;left:3456;top:6336;width:1728;height:3108" fillcolor="#969696"/>
            <v:rect id="_x0000_s1098" style="position:absolute;left:1008;top:9360;width:1728;height:4752" fillcolor="silver"/>
            <v:shape id="_x0000_s1099" type="#_x0000_t202" style="position:absolute;left:1152;top:14484;width:1728;height:576">
              <v:textbox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Presch</w:t>
                    </w:r>
                    <w:r>
                      <w:rPr>
                        <w:rFonts w:ascii="Arial" w:hAnsi="Arial"/>
                        <w:sz w:val="22"/>
                      </w:rPr>
                      <w:t>ool</w:t>
                    </w:r>
                  </w:p>
                </w:txbxContent>
              </v:textbox>
            </v:shape>
            <v:shape id="_x0000_s1100" type="#_x0000_t202" style="position:absolute;left:1152;top:13764;width:1728;height:432">
              <v:textbox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1</w:t>
                    </w:r>
                  </w:p>
                </w:txbxContent>
              </v:textbox>
            </v:shape>
            <v:shape id="_x0000_s1101" type="#_x0000_t202" style="position:absolute;left:1152;top:13188;width:1728;height:432">
              <v:textbox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2</w:t>
                    </w:r>
                  </w:p>
                </w:txbxContent>
              </v:textbox>
            </v:shape>
            <v:shape id="_x0000_s1102" type="#_x0000_t202" style="position:absolute;left:1152;top:12612;width:1728;height:432">
              <v:textbox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3</w:t>
                    </w:r>
                  </w:p>
                </w:txbxContent>
              </v:textbox>
            </v:shape>
            <v:shape id="_x0000_s1103" type="#_x0000_t202" style="position:absolute;left:1152;top:12036;width:1728;height:432">
              <v:textbox style="mso-next-textbox:#_x0000_s1103"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4</w:t>
                    </w:r>
                  </w:p>
                </w:txbxContent>
              </v:textbox>
            </v:shape>
            <v:shape id="_x0000_s1104" type="#_x0000_t202" style="position:absolute;left:1152;top:11460;width:1728;height:432">
              <v:textbox style="mso-next-textbox:#_x0000_s1104"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5</w:t>
                    </w:r>
                  </w:p>
                </w:txbxContent>
              </v:textbox>
            </v:shape>
            <v:shape id="_x0000_s1105" type="#_x0000_t202" style="position:absolute;left:1152;top:10884;width:1728;height:432">
              <v:textbox style="mso-next-textbox:#_x0000_s1105"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6</w:t>
                    </w:r>
                  </w:p>
                </w:txbxContent>
              </v:textbox>
            </v:shape>
            <v:shape id="_x0000_s1106" type="#_x0000_t202" style="position:absolute;left:1152;top:10308;width:1728;height:432">
              <v:textbox style="mso-next-textbox:#_x0000_s1106"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7</w:t>
                    </w:r>
                  </w:p>
                </w:txbxContent>
              </v:textbox>
            </v:shape>
            <v:shape id="_x0000_s1107" type="#_x0000_t202" style="position:absolute;left:1152;top:9504;width:1440;height:660" fillcolor="silver" stroked="f" strokecolor="white">
              <v:textbox>
                <w:txbxContent>
                  <w:p w:rsidR="00000000" w:rsidRDefault="00025EA8">
                    <w:pPr>
                      <w:pStyle w:val="BodyText"/>
                    </w:pPr>
                    <w:r>
                      <w:t>Compulsory Schooling</w:t>
                    </w:r>
                  </w:p>
                </w:txbxContent>
              </v:textbox>
            </v:shape>
            <v:shape id="_x0000_s1108" type="#_x0000_t202" style="position:absolute;left:3600;top:9732;width:1728;height:432">
              <v:textbox style="mso-next-textbox:#_x0000_s1108"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8</w:t>
                    </w:r>
                  </w:p>
                </w:txbxContent>
              </v:textbox>
            </v:shape>
            <v:shape id="_x0000_s1109" type="#_x0000_t202" style="position:absolute;left:3600;top:9156;width:1728;height:432">
              <v:textbox style="mso-next-textbox:#_x0000_s1109"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9</w:t>
                    </w:r>
                  </w:p>
                </w:txbxContent>
              </v:textbox>
            </v:shape>
            <v:shape id="_x0000_s1110" type="#_x0000_t202" style="position:absolute;left:3600;top:8003;width:1728;height:432">
              <v:textbox style="mso-next-textbox:#_x0000_s1110"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11</w:t>
                    </w:r>
                  </w:p>
                </w:txbxContent>
              </v:textbox>
            </v:shape>
            <v:shape id="_x0000_s1111" type="#_x0000_t202" style="position:absolute;left:3600;top:8580;width:1728;height:432">
              <v:textbox style="mso-next-textbox:#_x0000_s1111"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10</w:t>
                    </w:r>
                  </w:p>
                </w:txbxContent>
              </v:textbox>
            </v:shape>
            <v:shape id="_x0000_s1112" type="#_x0000_t202" style="position:absolute;left:3600;top:7427;width:1728;height:432">
              <v:textbox style="mso-next-textbox:#_x0000_s1112">
                <w:txbxContent>
                  <w:p w:rsidR="00000000" w:rsidRDefault="00025EA8">
                    <w:pPr>
                      <w:jc w:val="center"/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>Grade 12</w:t>
                    </w:r>
                  </w:p>
                </w:txbxContent>
              </v:textbox>
            </v:shape>
            <v:shape id="_x0000_s1113" type="#_x0000_t202" style="position:absolute;left:3600;top:6420;width:1584;height:864" fillcolor="#969696" stroked="f">
              <v:textbox>
                <w:txbxContent>
                  <w:p w:rsidR="00000000" w:rsidRDefault="00025EA8">
                    <w:r>
                      <w:t>Vocational education in schools</w:t>
                    </w:r>
                  </w:p>
                </w:txbxContent>
              </v:textbox>
            </v:shape>
            <v:shape id="_x0000_s1114" type="#_x0000_t202" style="position:absolute;left:6192;top:11664;width:2016;height:924">
              <v:stroke dashstyle="1 1" endcap="round"/>
              <v:textbox>
                <w:txbxContent>
                  <w:p w:rsidR="00000000" w:rsidRDefault="00025EA8">
                    <w:r>
                      <w:t xml:space="preserve">“Bridging”, non-formal, condensed </w:t>
                    </w:r>
                    <w:proofErr w:type="spellStart"/>
                    <w:r>
                      <w:t>programmes</w:t>
                    </w:r>
                    <w:proofErr w:type="spellEnd"/>
                  </w:p>
                </w:txbxContent>
              </v:textbox>
            </v:shape>
            <v:line id="_x0000_s1115" style="position:absolute;flip:y" from="7200,9216" to="7200,11664">
              <v:stroke endarrow="block"/>
            </v:line>
            <v:shape id="_x0000_s1116" type="#_x0000_t202" style="position:absolute;left:6192;top:8640;width:2016;height:432">
              <v:textbox style="mso-next-textbox:#_x0000_s1116">
                <w:txbxContent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 xml:space="preserve">National </w:t>
                    </w:r>
                    <w:r>
                      <w:rPr>
                        <w:rFonts w:ascii="Arial Narrow" w:hAnsi="Arial Narrow"/>
                        <w:sz w:val="22"/>
                      </w:rPr>
                      <w:t>Certificate</w:t>
                    </w:r>
                  </w:p>
                </w:txbxContent>
              </v:textbox>
            </v:shape>
            <v:shape id="_x0000_s1117" type="#_x0000_t202" style="position:absolute;left:6192;top:7487;width:2016;height:432">
              <v:textbox style="mso-next-textbox:#_x0000_s1117">
                <w:txbxContent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>A</w:t>
                    </w:r>
                    <w:r>
                      <w:rPr>
                        <w:rFonts w:ascii="Arial Narrow" w:hAnsi="Arial Narrow"/>
                        <w:sz w:val="22"/>
                      </w:rPr>
                      <w:t>ss</w:t>
                    </w:r>
                    <w:r>
                      <w:rPr>
                        <w:rFonts w:ascii="Arial Narrow" w:hAnsi="Arial Narrow"/>
                        <w:sz w:val="22"/>
                      </w:rPr>
                      <w:t>ociate Diploma</w:t>
                    </w:r>
                  </w:p>
                </w:txbxContent>
              </v:textbox>
            </v:shape>
            <v:shape id="_x0000_s1118" type="#_x0000_t202" style="position:absolute;left:6192;top:6912;width:2016;height:432">
              <v:textbox style="mso-next-textbox:#_x0000_s1118">
                <w:txbxContent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>National Diploma</w:t>
                    </w:r>
                  </w:p>
                </w:txbxContent>
              </v:textbox>
            </v:shape>
            <v:shape id="_x0000_s1119" type="#_x0000_t202" style="position:absolute;left:6192;top:6336;width:2016;height:432">
              <v:textbox style="mso-next-textbox:#_x0000_s1119">
                <w:txbxContent>
                  <w:p w:rsidR="00000000" w:rsidRDefault="00025EA8">
                    <w:pPr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>A</w:t>
                    </w:r>
                    <w:r>
                      <w:rPr>
                        <w:rFonts w:ascii="Arial Narrow" w:hAnsi="Arial Narrow"/>
                        <w:sz w:val="22"/>
                      </w:rPr>
                      <w:t>dv</w:t>
                    </w:r>
                    <w:r>
                      <w:rPr>
                        <w:rFonts w:ascii="Arial Narrow" w:hAnsi="Arial Narrow"/>
                        <w:sz w:val="22"/>
                      </w:rPr>
                      <w:t>ance</w:t>
                    </w:r>
                    <w:r>
                      <w:rPr>
                        <w:rFonts w:ascii="Arial Narrow" w:hAnsi="Arial Narrow"/>
                        <w:sz w:val="22"/>
                      </w:rPr>
                      <w:t>d Diploma</w:t>
                    </w:r>
                  </w:p>
                </w:txbxContent>
              </v:textbox>
            </v:shape>
            <v:shape id="_x0000_s1120" type="#_x0000_t202" style="position:absolute;left:8640;top:10080;width:2016;height:1212">
              <v:stroke dashstyle="1 1" endcap="round"/>
              <v:textbox style="mso-next-textbox:#_x0000_s1120">
                <w:txbxContent>
                  <w:p w:rsidR="00000000" w:rsidRDefault="00025EA8">
                    <w:pPr>
                      <w:jc w:val="center"/>
                      <w:rPr>
                        <w:sz w:val="22"/>
                      </w:rPr>
                    </w:pPr>
                  </w:p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Foundation </w:t>
                    </w:r>
                    <w:r>
                      <w:rPr>
                        <w:sz w:val="22"/>
                      </w:rPr>
                      <w:t>Studies</w:t>
                    </w:r>
                  </w:p>
                </w:txbxContent>
              </v:textbox>
            </v:shape>
            <v:shape id="_x0000_s1121" type="#_x0000_t202" style="position:absolute;left:8640;top:7487;width:2016;height:432">
              <v:textbox style="mso-next-textbox:#_x0000_s1121">
                <w:txbxContent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>Associate Diploma</w:t>
                    </w:r>
                  </w:p>
                </w:txbxContent>
              </v:textbox>
            </v:shape>
            <v:shape id="_x0000_s1122" type="#_x0000_t202" style="position:absolute;left:8640;top:6912;width:2016;height:432">
              <v:textbox style="mso-next-textbox:#_x0000_s1122">
                <w:txbxContent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>National Diploma</w:t>
                    </w:r>
                  </w:p>
                </w:txbxContent>
              </v:textbox>
            </v:shape>
            <v:shape id="_x0000_s1123" type="#_x0000_t202" style="position:absolute;left:8640;top:6336;width:2016;height:432">
              <v:textbox style="mso-next-textbox:#_x0000_s1123">
                <w:txbxContent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>Associate Degree</w:t>
                    </w:r>
                  </w:p>
                </w:txbxContent>
              </v:textbox>
            </v:shape>
            <v:shape id="_x0000_s1124" type="#_x0000_t202" style="position:absolute;left:8640;top:5472;width:2016;height:432">
              <v:textbox style="mso-next-textbox:#_x0000_s1124">
                <w:txbxContent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>First Degree</w:t>
                    </w:r>
                  </w:p>
                </w:txbxContent>
              </v:textbox>
            </v:shape>
            <v:shape id="_x0000_s1125" type="#_x0000_t202" style="position:absolute;left:8640;top:4896;width:2016;height:432">
              <v:textbox style="mso-next-textbox:#_x0000_s1125">
                <w:txbxContent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>Graduate Diploma</w:t>
                    </w:r>
                  </w:p>
                </w:txbxContent>
              </v:textbox>
            </v:shape>
            <v:shape id="_x0000_s1126" type="#_x0000_t202" style="position:absolute;left:8640;top:4320;width:2016;height:432">
              <v:textbox style="mso-next-textbox:#_x0000_s1126">
                <w:txbxContent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>Second Degree</w:t>
                    </w:r>
                  </w:p>
                </w:txbxContent>
              </v:textbox>
            </v:shape>
            <v:shape id="_x0000_s1127" type="#_x0000_t202" style="position:absolute;left:8640;top:3600;width:2016;height:516">
              <v:textbox style="mso-next-textbox:#_x0000_s1127">
                <w:txbxContent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>Doctorate</w:t>
                    </w:r>
                  </w:p>
                </w:txbxContent>
              </v:textbox>
            </v:shape>
            <v:line id="_x0000_s1128" style="position:absolute" from="3168,2160" to="3168,15408" strokecolor="gray" strokeweight="1pt"/>
            <v:line id="_x0000_s1129" style="position:absolute" from="5904,2160" to="5904,15408" strokecolor="gray" strokeweight="1pt"/>
            <v:line id="_x0000_s1130" style="position:absolute" from="8496,2160" to="8496,15408" strokecolor="gray" strokeweight="1pt"/>
            <v:shape id="_x0000_s1131" type="#_x0000_t202" style="position:absolute;left:6048;top:2304;width:2304;height:1152" fillcolor="gray" stroked="f">
              <v:textbox>
                <w:txbxContent>
                  <w:p w:rsidR="00000000" w:rsidRDefault="00025EA8">
                    <w:pPr>
                      <w:pStyle w:val="Heading2"/>
                      <w:jc w:val="center"/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</w:pPr>
                    <w:r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  <w:t>VOCATIONAL EDUCATION</w:t>
                    </w:r>
                    <w:r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  <w:t xml:space="preserve"> AND </w:t>
                    </w:r>
                    <w:r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  <w:t>TRAININ</w:t>
                    </w:r>
                    <w:r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  <w:t>G</w:t>
                    </w:r>
                  </w:p>
                </w:txbxContent>
              </v:textbox>
            </v:shape>
            <v:shape id="_x0000_s1132" type="#_x0000_t202" style="position:absolute;left:3312;top:2304;width:2448;height:1152" fillcolor="gray" stroked="f">
              <v:textbox>
                <w:txbxContent>
                  <w:p w:rsidR="00000000" w:rsidRDefault="00025EA8">
                    <w:pPr>
                      <w:pStyle w:val="Heading2"/>
                      <w:jc w:val="center"/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</w:pPr>
                  </w:p>
                  <w:p w:rsidR="00000000" w:rsidRDefault="00025EA8">
                    <w:pPr>
                      <w:pStyle w:val="Heading2"/>
                      <w:jc w:val="center"/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</w:pPr>
                    <w:r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  <w:t>SECONDARY</w:t>
                    </w:r>
                    <w:r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  <w:t xml:space="preserve"> </w:t>
                    </w:r>
                  </w:p>
                </w:txbxContent>
              </v:textbox>
            </v:shape>
            <v:shape id="_x0000_s1133" type="#_x0000_t202" style="position:absolute;left:1008;top:2304;width:2016;height:1152" fillcolor="gray" stroked="f">
              <v:textbox>
                <w:txbxContent>
                  <w:p w:rsidR="00000000" w:rsidRDefault="00025EA8">
                    <w:pPr>
                      <w:pStyle w:val="Heading2"/>
                      <w:jc w:val="center"/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</w:pPr>
                  </w:p>
                  <w:p w:rsidR="00000000" w:rsidRDefault="00025EA8">
                    <w:pPr>
                      <w:pStyle w:val="Heading2"/>
                      <w:jc w:val="center"/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</w:pPr>
                    <w:r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  <w:t>PRIMARY</w:t>
                    </w:r>
                    <w:r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  <w:t xml:space="preserve"> </w:t>
                    </w:r>
                  </w:p>
                </w:txbxContent>
              </v:textbox>
            </v:shape>
            <v:shape id="_x0000_s1134" type="#_x0000_t202" style="position:absolute;left:8640;top:2304;width:2016;height:1152" fillcolor="gray" stroked="f">
              <v:textbox>
                <w:txbxContent>
                  <w:p w:rsidR="00000000" w:rsidRDefault="00025EA8">
                    <w:pPr>
                      <w:pStyle w:val="Heading2"/>
                      <w:jc w:val="center"/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</w:pPr>
                    <w:r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  <w:t>HIGHER</w:t>
                    </w:r>
                  </w:p>
                  <w:p w:rsidR="00000000" w:rsidRDefault="00025EA8">
                    <w:pPr>
                      <w:pStyle w:val="Heading2"/>
                      <w:jc w:val="center"/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</w:pPr>
                    <w:r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  <w:t>EDUCATION</w:t>
                    </w:r>
                    <w:r>
                      <w:rPr>
                        <w:rFonts w:ascii="Arial Narrow" w:hAnsi="Arial Narrow"/>
                        <w:b w:val="0"/>
                        <w:color w:val="FFFFFF"/>
                        <w:sz w:val="28"/>
                      </w:rPr>
                      <w:t xml:space="preserve"> </w:t>
                    </w:r>
                  </w:p>
                </w:txbxContent>
              </v:textbox>
            </v:shape>
            <v:line id="_x0000_s1135" style="position:absolute" from="7200,5760" to="8352,5760">
              <v:stroke endarrow="block"/>
            </v:line>
            <v:line id="_x0000_s1136" style="position:absolute" from="7200,5760" to="7200,6336"/>
            <v:line id="_x0000_s1137" style="position:absolute" from="864,2160" to="864,15408" strokecolor="gray" strokeweight="1pt"/>
            <v:line id="_x0000_s1138" style="position:absolute" from="10800,2160" to="10800,15408" strokecolor="gray" strokeweight="1pt"/>
            <v:line id="_x0000_s1139" style="position:absolute" from="5328,8496" to="5616,8496"/>
            <v:line id="_x0000_s1140" style="position:absolute;flip:y" from="5616,6624" to="5616,8496"/>
            <v:line id="_x0000_s1141" style="position:absolute" from="5328,7920" to="5616,7920"/>
            <v:line id="_x0000_s1142" style="position:absolute" from="5328,7344" to="5616,7344"/>
            <v:line id="_x0000_s1143" style="position:absolute" from="5616,6624" to="6048,6624">
              <v:stroke endarrow="block"/>
            </v:line>
            <v:line id="_x0000_s1144" style="position:absolute" from="5616,7200" to="6048,7200">
              <v:stroke endarrow="block"/>
            </v:line>
            <v:line id="_x0000_s1145" style="position:absolute" from="5616,7632" to="6048,7632">
              <v:stroke endarrow="block"/>
            </v:line>
            <v:line id="_x0000_s1146" style="position:absolute;flip:y" from="8784,7920" to="8784,10080">
              <v:stroke endarrow="block" endarrowwidth="wide" endarrowlength="short"/>
            </v:line>
            <v:shape id="_x0000_s1147" type="#_x0000_t202" style="position:absolute;left:6192;top:8064;width:2016;height:432">
              <v:textbox style="mso-next-textbox:#_x0000_s1147">
                <w:txbxContent>
                  <w:p w:rsidR="00000000" w:rsidRDefault="00025EA8">
                    <w:pPr>
                      <w:rPr>
                        <w:rFonts w:ascii="Arial Narrow" w:hAnsi="Arial Narrow"/>
                        <w:sz w:val="22"/>
                      </w:rPr>
                    </w:pPr>
                    <w:proofErr w:type="gramStart"/>
                    <w:r>
                      <w:rPr>
                        <w:rFonts w:ascii="Arial Narrow" w:hAnsi="Arial Narrow"/>
                        <w:sz w:val="22"/>
                      </w:rPr>
                      <w:t>Advan</w:t>
                    </w:r>
                    <w:r>
                      <w:rPr>
                        <w:rFonts w:ascii="Arial Narrow" w:hAnsi="Arial Narrow"/>
                        <w:sz w:val="22"/>
                      </w:rPr>
                      <w:t xml:space="preserve">ced </w:t>
                    </w:r>
                    <w:r>
                      <w:rPr>
                        <w:rFonts w:ascii="Arial Narrow" w:hAnsi="Arial Narrow"/>
                        <w:sz w:val="22"/>
                      </w:rPr>
                      <w:t xml:space="preserve"> </w:t>
                    </w:r>
                    <w:proofErr w:type="spellStart"/>
                    <w:r>
                      <w:rPr>
                        <w:rFonts w:ascii="Arial Narrow" w:hAnsi="Arial Narrow"/>
                        <w:sz w:val="22"/>
                      </w:rPr>
                      <w:t>Cert</w:t>
                    </w:r>
                    <w:r>
                      <w:rPr>
                        <w:rFonts w:ascii="Arial Narrow" w:hAnsi="Arial Narrow"/>
                        <w:sz w:val="22"/>
                      </w:rPr>
                      <w:t>’</w:t>
                    </w:r>
                    <w:r>
                      <w:rPr>
                        <w:rFonts w:ascii="Arial Narrow" w:hAnsi="Arial Narrow"/>
                        <w:sz w:val="22"/>
                      </w:rPr>
                      <w:t>ate</w:t>
                    </w:r>
                    <w:proofErr w:type="spellEnd"/>
                    <w:proofErr w:type="gramEnd"/>
                  </w:p>
                </w:txbxContent>
              </v:textbox>
            </v:shape>
            <v:shape id="_x0000_s1148" type="#_x0000_t202" style="position:absolute;left:8640;top:8064;width:2016;height:432">
              <v:textbox style="mso-next-textbox:#_x0000_s1148">
                <w:txbxContent>
                  <w:p w:rsidR="00000000" w:rsidRDefault="00025EA8">
                    <w:pPr>
                      <w:rPr>
                        <w:rFonts w:ascii="Arial Narrow" w:hAnsi="Arial Narrow"/>
                        <w:sz w:val="22"/>
                      </w:rPr>
                    </w:pPr>
                    <w:proofErr w:type="gramStart"/>
                    <w:r>
                      <w:rPr>
                        <w:rFonts w:ascii="Arial Narrow" w:hAnsi="Arial Narrow"/>
                        <w:sz w:val="22"/>
                      </w:rPr>
                      <w:t>Advan</w:t>
                    </w:r>
                    <w:r>
                      <w:rPr>
                        <w:rFonts w:ascii="Arial Narrow" w:hAnsi="Arial Narrow"/>
                        <w:sz w:val="22"/>
                      </w:rPr>
                      <w:t xml:space="preserve">ced </w:t>
                    </w:r>
                    <w:r>
                      <w:rPr>
                        <w:rFonts w:ascii="Arial Narrow" w:hAnsi="Arial Narrow"/>
                        <w:sz w:val="22"/>
                      </w:rPr>
                      <w:t xml:space="preserve"> </w:t>
                    </w:r>
                    <w:proofErr w:type="spellStart"/>
                    <w:r>
                      <w:rPr>
                        <w:rFonts w:ascii="Arial Narrow" w:hAnsi="Arial Narrow"/>
                        <w:sz w:val="22"/>
                      </w:rPr>
                      <w:t>Cert</w:t>
                    </w:r>
                    <w:r>
                      <w:rPr>
                        <w:rFonts w:ascii="Arial Narrow" w:hAnsi="Arial Narrow"/>
                        <w:sz w:val="22"/>
                      </w:rPr>
                      <w:t>’ate</w:t>
                    </w:r>
                    <w:proofErr w:type="spellEnd"/>
                    <w:proofErr w:type="gramEnd"/>
                  </w:p>
                </w:txbxContent>
              </v:textbox>
            </v:shape>
            <v:shape id="_x0000_s1149" type="#_x0000_t202" style="position:absolute;left:8640;top:8640;width:2016;height:432">
              <v:textbox style="mso-next-textbox:#_x0000_s1149">
                <w:txbxContent>
                  <w:p w:rsidR="00000000" w:rsidRDefault="00025EA8">
                    <w:pPr>
                      <w:jc w:val="center"/>
                      <w:rPr>
                        <w:rFonts w:ascii="Arial Narrow" w:hAnsi="Arial Narrow"/>
                        <w:sz w:val="22"/>
                      </w:rPr>
                    </w:pPr>
                    <w:r>
                      <w:rPr>
                        <w:rFonts w:ascii="Arial Narrow" w:hAnsi="Arial Narrow"/>
                        <w:sz w:val="22"/>
                      </w:rPr>
                      <w:t xml:space="preserve">National </w:t>
                    </w:r>
                    <w:r>
                      <w:rPr>
                        <w:rFonts w:ascii="Arial Narrow" w:hAnsi="Arial Narrow"/>
                        <w:sz w:val="22"/>
                      </w:rPr>
                      <w:t>Certificate</w:t>
                    </w:r>
                  </w:p>
                </w:txbxContent>
              </v:textbox>
            </v:shape>
          </v:group>
        </w:pict>
      </w: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br w:type="page"/>
      </w:r>
      <w:proofErr w:type="gramStart"/>
      <w:r>
        <w:rPr>
          <w:sz w:val="24"/>
        </w:rPr>
        <w:t>i</w:t>
      </w:r>
      <w:r>
        <w:rPr>
          <w:sz w:val="24"/>
        </w:rPr>
        <w:t>n</w:t>
      </w:r>
      <w:r>
        <w:rPr>
          <w:sz w:val="24"/>
        </w:rPr>
        <w:t>s</w:t>
      </w:r>
      <w:r>
        <w:rPr>
          <w:sz w:val="24"/>
        </w:rPr>
        <w:t>titute</w:t>
      </w:r>
      <w:proofErr w:type="gramEnd"/>
      <w:r>
        <w:rPr>
          <w:sz w:val="24"/>
        </w:rPr>
        <w:t xml:space="preserve"> may offer </w:t>
      </w:r>
      <w:r>
        <w:rPr>
          <w:sz w:val="24"/>
        </w:rPr>
        <w:t xml:space="preserve">a two-year diploma after O Levels.  Certificates are also offered after various </w:t>
      </w:r>
      <w:r>
        <w:rPr>
          <w:sz w:val="24"/>
        </w:rPr>
        <w:t>periods of study.</w:t>
      </w:r>
      <w:r>
        <w:rPr>
          <w:sz w:val="24"/>
        </w:rPr>
        <w:t xml:space="preserve">  In other</w:t>
      </w:r>
      <w:r>
        <w:rPr>
          <w:sz w:val="24"/>
        </w:rPr>
        <w:t xml:space="preserve"> words, there is a need to </w:t>
      </w:r>
      <w:proofErr w:type="spellStart"/>
      <w:r>
        <w:rPr>
          <w:sz w:val="24"/>
        </w:rPr>
        <w:t>harmonise</w:t>
      </w:r>
      <w:proofErr w:type="spellEnd"/>
      <w:r>
        <w:rPr>
          <w:sz w:val="24"/>
        </w:rPr>
        <w:t xml:space="preserve"> the qualifications offered by various institutes.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 xml:space="preserve">The past ten </w:t>
      </w:r>
      <w:r>
        <w:rPr>
          <w:sz w:val="24"/>
        </w:rPr>
        <w:t>years have seen the growth of private educationa</w:t>
      </w:r>
      <w:r>
        <w:rPr>
          <w:sz w:val="24"/>
        </w:rPr>
        <w:t xml:space="preserve">l institutions offering various </w:t>
      </w:r>
      <w:r>
        <w:rPr>
          <w:sz w:val="24"/>
        </w:rPr>
        <w:t xml:space="preserve">technical </w:t>
      </w:r>
      <w:r>
        <w:rPr>
          <w:sz w:val="24"/>
        </w:rPr>
        <w:t xml:space="preserve">courses </w:t>
      </w:r>
      <w:r>
        <w:rPr>
          <w:sz w:val="24"/>
        </w:rPr>
        <w:t xml:space="preserve">to </w:t>
      </w:r>
      <w:r>
        <w:rPr>
          <w:sz w:val="24"/>
        </w:rPr>
        <w:t xml:space="preserve">the public. </w:t>
      </w:r>
      <w:r>
        <w:rPr>
          <w:sz w:val="24"/>
        </w:rPr>
        <w:t xml:space="preserve"> It is likely that in the future these pri</w:t>
      </w:r>
      <w:r>
        <w:rPr>
          <w:sz w:val="24"/>
        </w:rPr>
        <w:t>vate institutions will play an</w:t>
      </w:r>
      <w:r>
        <w:rPr>
          <w:sz w:val="24"/>
        </w:rPr>
        <w:t xml:space="preserve"> important role in the overall development of the national technical and educational skills.</w:t>
      </w:r>
      <w:r>
        <w:rPr>
          <w:sz w:val="24"/>
        </w:rPr>
        <w:t xml:space="preserve">  It is, therefore, us</w:t>
      </w:r>
      <w:r>
        <w:rPr>
          <w:sz w:val="24"/>
        </w:rPr>
        <w:t>eful to recognize some of their qualificati</w:t>
      </w:r>
      <w:r>
        <w:rPr>
          <w:sz w:val="24"/>
        </w:rPr>
        <w:t>ons in a nati</w:t>
      </w:r>
      <w:r>
        <w:rPr>
          <w:sz w:val="24"/>
        </w:rPr>
        <w:t xml:space="preserve">onal framework for the government </w:t>
      </w:r>
      <w:r>
        <w:rPr>
          <w:sz w:val="24"/>
        </w:rPr>
        <w:t>may</w:t>
      </w:r>
      <w:r>
        <w:rPr>
          <w:sz w:val="24"/>
        </w:rPr>
        <w:t xml:space="preserve"> not be able to sh</w:t>
      </w:r>
      <w:r>
        <w:rPr>
          <w:sz w:val="24"/>
        </w:rPr>
        <w:t xml:space="preserve">oulder the skilling of the </w:t>
      </w:r>
      <w:r>
        <w:rPr>
          <w:sz w:val="24"/>
        </w:rPr>
        <w:t xml:space="preserve">population alone.  </w:t>
      </w:r>
    </w:p>
    <w:p w:rsidR="00000000" w:rsidRDefault="00025EA8">
      <w:pPr>
        <w:pStyle w:val="BodyText"/>
        <w:rPr>
          <w:sz w:val="24"/>
        </w:rPr>
      </w:pPr>
    </w:p>
    <w:p w:rsidR="00000000" w:rsidRDefault="00025EA8">
      <w:pPr>
        <w:pStyle w:val="BodyText"/>
        <w:rPr>
          <w:sz w:val="24"/>
        </w:rPr>
      </w:pPr>
      <w:r>
        <w:rPr>
          <w:noProof/>
          <w:sz w:val="24"/>
        </w:rPr>
        <w:pict>
          <v:shape id="_x0000_s1091" type="#_x0000_t202" style="position:absolute;margin-left:-3.6pt;margin-top:5.05pt;width:100.8pt;height:28.8pt;z-index:251655168;mso-position-horizontal:absolute;mso-position-horizontal-relative:text;mso-position-vertical:absolute;mso-position-vertical-relative:text" o:allowincell="f" stroked="f">
            <v:textbox style="mso-next-textbox:#_x0000_s1091">
              <w:txbxContent>
                <w:p w:rsidR="00000000" w:rsidRDefault="00025EA8">
                  <w:pPr>
                    <w:pStyle w:val="Heading3"/>
                  </w:pPr>
                  <w:r>
                    <w:t>Objectives</w:t>
                  </w:r>
                </w:p>
              </w:txbxContent>
            </v:textbox>
          </v:shape>
        </w:pict>
      </w:r>
    </w:p>
    <w:p w:rsidR="00000000" w:rsidRDefault="00025EA8">
      <w:pPr>
        <w:pStyle w:val="BodyText"/>
        <w:tabs>
          <w:tab w:val="left" w:pos="-720"/>
        </w:tabs>
        <w:ind w:left="2880"/>
        <w:rPr>
          <w:sz w:val="24"/>
        </w:rPr>
      </w:pPr>
      <w:r>
        <w:rPr>
          <w:sz w:val="24"/>
        </w:rPr>
        <w:t xml:space="preserve">The </w:t>
      </w:r>
      <w:proofErr w:type="gramStart"/>
      <w:r>
        <w:rPr>
          <w:sz w:val="24"/>
        </w:rPr>
        <w:t xml:space="preserve">objectives </w:t>
      </w:r>
      <w:r>
        <w:rPr>
          <w:sz w:val="24"/>
        </w:rPr>
        <w:t>of the</w:t>
      </w:r>
      <w:r>
        <w:rPr>
          <w:sz w:val="24"/>
        </w:rPr>
        <w:t xml:space="preserve"> </w:t>
      </w:r>
      <w:r>
        <w:rPr>
          <w:sz w:val="24"/>
        </w:rPr>
        <w:t>N</w:t>
      </w:r>
      <w:r>
        <w:rPr>
          <w:sz w:val="24"/>
        </w:rPr>
        <w:t xml:space="preserve">ational </w:t>
      </w:r>
      <w:r>
        <w:rPr>
          <w:sz w:val="24"/>
        </w:rPr>
        <w:t>Q</w:t>
      </w:r>
      <w:r>
        <w:rPr>
          <w:sz w:val="24"/>
        </w:rPr>
        <w:t xml:space="preserve">ualifications </w:t>
      </w:r>
      <w:r>
        <w:rPr>
          <w:sz w:val="24"/>
        </w:rPr>
        <w:t>F</w:t>
      </w:r>
      <w:r>
        <w:rPr>
          <w:sz w:val="24"/>
        </w:rPr>
        <w:t>ramework</w:t>
      </w:r>
      <w:r>
        <w:rPr>
          <w:sz w:val="24"/>
        </w:rPr>
        <w:t xml:space="preserve"> </w:t>
      </w:r>
      <w:r>
        <w:rPr>
          <w:sz w:val="24"/>
        </w:rPr>
        <w:t xml:space="preserve">(NQF) </w:t>
      </w:r>
      <w:r>
        <w:rPr>
          <w:sz w:val="24"/>
        </w:rPr>
        <w:t>is</w:t>
      </w:r>
      <w:proofErr w:type="gramEnd"/>
      <w:r>
        <w:rPr>
          <w:sz w:val="24"/>
        </w:rPr>
        <w:t xml:space="preserve"> to provide the learners, employers and providers with</w:t>
      </w:r>
      <w:r>
        <w:rPr>
          <w:sz w:val="24"/>
        </w:rPr>
        <w:t xml:space="preserve"> widely supported and respected qualifications.  </w:t>
      </w:r>
      <w:r>
        <w:rPr>
          <w:sz w:val="24"/>
        </w:rPr>
        <w:t xml:space="preserve">More specifically, the </w:t>
      </w:r>
      <w:r>
        <w:rPr>
          <w:sz w:val="24"/>
        </w:rPr>
        <w:t>NQF</w:t>
      </w:r>
    </w:p>
    <w:p w:rsidR="00000000" w:rsidRDefault="00025EA8">
      <w:pPr>
        <w:pStyle w:val="BodyText"/>
        <w:tabs>
          <w:tab w:val="left" w:pos="-720"/>
        </w:tabs>
        <w:ind w:left="2880"/>
        <w:rPr>
          <w:sz w:val="24"/>
        </w:rPr>
      </w:pPr>
    </w:p>
    <w:p w:rsidR="00000000" w:rsidRDefault="00025EA8">
      <w:pPr>
        <w:pStyle w:val="BodyText"/>
        <w:numPr>
          <w:ilvl w:val="0"/>
          <w:numId w:val="5"/>
        </w:numPr>
        <w:tabs>
          <w:tab w:val="clear" w:pos="360"/>
          <w:tab w:val="left" w:pos="-720"/>
          <w:tab w:val="num" w:pos="3240"/>
        </w:tabs>
        <w:ind w:left="3240"/>
        <w:rPr>
          <w:sz w:val="24"/>
        </w:rPr>
      </w:pPr>
      <w:r>
        <w:rPr>
          <w:sz w:val="24"/>
        </w:rPr>
        <w:t>C</w:t>
      </w:r>
      <w:r>
        <w:rPr>
          <w:sz w:val="24"/>
        </w:rPr>
        <w:t>lo</w:t>
      </w:r>
      <w:r>
        <w:rPr>
          <w:sz w:val="24"/>
        </w:rPr>
        <w:t xml:space="preserve">sely </w:t>
      </w:r>
      <w:r>
        <w:rPr>
          <w:sz w:val="24"/>
        </w:rPr>
        <w:t>integrates learning and work at all levels</w:t>
      </w:r>
    </w:p>
    <w:p w:rsidR="00000000" w:rsidRDefault="00025EA8">
      <w:pPr>
        <w:pStyle w:val="BodyText"/>
        <w:numPr>
          <w:ilvl w:val="0"/>
          <w:numId w:val="5"/>
        </w:numPr>
        <w:tabs>
          <w:tab w:val="clear" w:pos="360"/>
          <w:tab w:val="left" w:pos="-720"/>
          <w:tab w:val="num" w:pos="3240"/>
        </w:tabs>
        <w:ind w:left="3240"/>
        <w:rPr>
          <w:sz w:val="24"/>
        </w:rPr>
      </w:pPr>
      <w:proofErr w:type="spellStart"/>
      <w:r>
        <w:rPr>
          <w:sz w:val="24"/>
        </w:rPr>
        <w:t>Rationalises</w:t>
      </w:r>
      <w:proofErr w:type="spellEnd"/>
      <w:r>
        <w:rPr>
          <w:sz w:val="24"/>
        </w:rPr>
        <w:t xml:space="preserve"> </w:t>
      </w:r>
      <w:r>
        <w:rPr>
          <w:sz w:val="24"/>
        </w:rPr>
        <w:t>school qualifications, industry and vocational qualifications, and academic qualifications into one single system</w:t>
      </w:r>
    </w:p>
    <w:p w:rsidR="00000000" w:rsidRDefault="00025EA8">
      <w:pPr>
        <w:pStyle w:val="BodyText"/>
        <w:numPr>
          <w:ilvl w:val="0"/>
          <w:numId w:val="5"/>
        </w:numPr>
        <w:tabs>
          <w:tab w:val="clear" w:pos="360"/>
          <w:tab w:val="left" w:pos="-720"/>
          <w:tab w:val="num" w:pos="3240"/>
        </w:tabs>
        <w:ind w:left="3240"/>
        <w:rPr>
          <w:sz w:val="24"/>
        </w:rPr>
      </w:pPr>
      <w:r>
        <w:rPr>
          <w:sz w:val="24"/>
        </w:rPr>
        <w:t>Supports flexible and continuous upgrading of knowledge and skills  throughout on</w:t>
      </w:r>
      <w:r>
        <w:rPr>
          <w:sz w:val="24"/>
        </w:rPr>
        <w:t>e</w:t>
      </w:r>
      <w:r>
        <w:rPr>
          <w:sz w:val="24"/>
        </w:rPr>
        <w:t>’s life</w:t>
      </w:r>
    </w:p>
    <w:p w:rsidR="00000000" w:rsidRDefault="00025EA8">
      <w:pPr>
        <w:pStyle w:val="BodyText"/>
        <w:numPr>
          <w:ilvl w:val="0"/>
          <w:numId w:val="5"/>
        </w:numPr>
        <w:tabs>
          <w:tab w:val="clear" w:pos="360"/>
          <w:tab w:val="left" w:pos="-720"/>
          <w:tab w:val="num" w:pos="3240"/>
        </w:tabs>
        <w:ind w:left="3240"/>
        <w:rPr>
          <w:sz w:val="24"/>
        </w:rPr>
      </w:pPr>
      <w:r>
        <w:rPr>
          <w:sz w:val="24"/>
        </w:rPr>
        <w:t xml:space="preserve">Encourages equality of </w:t>
      </w:r>
      <w:r>
        <w:rPr>
          <w:sz w:val="24"/>
        </w:rPr>
        <w:t>respect between vocational and academic qualifications</w:t>
      </w:r>
    </w:p>
    <w:p w:rsidR="00000000" w:rsidRDefault="00025EA8">
      <w:pPr>
        <w:pStyle w:val="BodyText"/>
        <w:numPr>
          <w:ilvl w:val="0"/>
          <w:numId w:val="5"/>
        </w:numPr>
        <w:tabs>
          <w:tab w:val="clear" w:pos="360"/>
          <w:tab w:val="left" w:pos="-720"/>
          <w:tab w:val="num" w:pos="3240"/>
        </w:tabs>
        <w:ind w:left="3240"/>
        <w:rPr>
          <w:sz w:val="24"/>
        </w:rPr>
      </w:pPr>
      <w:r>
        <w:rPr>
          <w:sz w:val="24"/>
        </w:rPr>
        <w:t>Provides a structure in which private education providers can maintain credibility and quality.</w:t>
      </w:r>
      <w:r>
        <w:rPr>
          <w:sz w:val="24"/>
        </w:rPr>
        <w:t xml:space="preserve"> </w:t>
      </w:r>
    </w:p>
    <w:p w:rsidR="00000000" w:rsidRDefault="00025EA8">
      <w:pPr>
        <w:pStyle w:val="BodyText"/>
        <w:tabs>
          <w:tab w:val="left" w:pos="-720"/>
        </w:tabs>
        <w:ind w:left="2880"/>
        <w:rPr>
          <w:sz w:val="24"/>
        </w:rPr>
      </w:pPr>
    </w:p>
    <w:p w:rsidR="00000000" w:rsidRDefault="00025EA8">
      <w:pPr>
        <w:pStyle w:val="BodyText"/>
        <w:tabs>
          <w:tab w:val="left" w:pos="-720"/>
        </w:tabs>
        <w:ind w:left="2880"/>
        <w:rPr>
          <w:sz w:val="24"/>
        </w:rPr>
      </w:pPr>
      <w:r>
        <w:rPr>
          <w:noProof/>
          <w:sz w:val="24"/>
        </w:rPr>
        <w:pict>
          <v:shape id="_x0000_s1153" type="#_x0000_t202" style="position:absolute;left:0;text-align:left;margin-left:10.8pt;margin-top:7.75pt;width:100.8pt;height:57.6pt;z-index:251662336;mso-position-horizontal:absolute;mso-position-horizontal-relative:text;mso-position-vertical:absolute;mso-position-vertical-relative:text" o:allowincell="f" stroked="f">
            <v:textbox style="mso-next-textbox:#_x0000_s1153">
              <w:txbxContent>
                <w:p w:rsidR="00000000" w:rsidRDefault="00025EA8">
                  <w:pPr>
                    <w:pStyle w:val="Heading3"/>
                  </w:pPr>
                  <w:proofErr w:type="gramStart"/>
                  <w:r>
                    <w:t xml:space="preserve">Brief </w:t>
                  </w:r>
                  <w:r>
                    <w:t xml:space="preserve"> outline</w:t>
                  </w:r>
                  <w:proofErr w:type="gramEnd"/>
                  <w:r>
                    <w:t xml:space="preserve"> of the </w:t>
                  </w:r>
                  <w:r>
                    <w:t>Framework</w:t>
                  </w:r>
                </w:p>
              </w:txbxContent>
            </v:textbox>
          </v:shape>
        </w:pict>
      </w:r>
    </w:p>
    <w:p w:rsidR="00000000" w:rsidRDefault="00025EA8">
      <w:pPr>
        <w:pStyle w:val="BodyText"/>
        <w:tabs>
          <w:tab w:val="left" w:pos="-720"/>
        </w:tabs>
        <w:ind w:left="2880"/>
        <w:rPr>
          <w:sz w:val="24"/>
        </w:rPr>
      </w:pPr>
      <w:r>
        <w:rPr>
          <w:sz w:val="24"/>
        </w:rPr>
        <w:t>I</w:t>
      </w:r>
      <w:r>
        <w:rPr>
          <w:sz w:val="24"/>
        </w:rPr>
        <w:t>n</w:t>
      </w:r>
      <w:r>
        <w:rPr>
          <w:sz w:val="24"/>
        </w:rPr>
        <w:t xml:space="preserve"> </w:t>
      </w:r>
      <w:r>
        <w:rPr>
          <w:sz w:val="24"/>
        </w:rPr>
        <w:t xml:space="preserve">the proposed </w:t>
      </w:r>
      <w:r>
        <w:rPr>
          <w:sz w:val="24"/>
        </w:rPr>
        <w:t>framework, there are 12 levels of qualifications.  Some aspects of vocational education may be taught f</w:t>
      </w:r>
      <w:r>
        <w:rPr>
          <w:sz w:val="24"/>
        </w:rPr>
        <w:t xml:space="preserve">rom </w:t>
      </w:r>
      <w:r>
        <w:rPr>
          <w:sz w:val="24"/>
        </w:rPr>
        <w:t>Grade-</w:t>
      </w:r>
      <w:r>
        <w:rPr>
          <w:sz w:val="24"/>
        </w:rPr>
        <w:t xml:space="preserve">9 onwards.  Safety nets have been provided </w:t>
      </w:r>
      <w:r>
        <w:rPr>
          <w:sz w:val="24"/>
        </w:rPr>
        <w:t xml:space="preserve">at two stages </w:t>
      </w:r>
      <w:r>
        <w:rPr>
          <w:sz w:val="24"/>
        </w:rPr>
        <w:t xml:space="preserve">for those unable to succeed in the formal education system for various reasons.  </w:t>
      </w:r>
      <w:r>
        <w:rPr>
          <w:sz w:val="24"/>
        </w:rPr>
        <w:t xml:space="preserve">The terms in the </w:t>
      </w:r>
      <w:r>
        <w:rPr>
          <w:sz w:val="24"/>
        </w:rPr>
        <w:t xml:space="preserve">Vocational and Higher Education columns will all be </w:t>
      </w:r>
      <w:r>
        <w:rPr>
          <w:sz w:val="24"/>
        </w:rPr>
        <w:t>“</w:t>
      </w:r>
      <w:r>
        <w:rPr>
          <w:sz w:val="24"/>
        </w:rPr>
        <w:t>protected</w:t>
      </w:r>
      <w:r>
        <w:rPr>
          <w:sz w:val="24"/>
        </w:rPr>
        <w:t>”</w:t>
      </w:r>
      <w:r>
        <w:rPr>
          <w:sz w:val="24"/>
        </w:rPr>
        <w:t xml:space="preserve"> so that </w:t>
      </w:r>
      <w:r>
        <w:rPr>
          <w:sz w:val="24"/>
        </w:rPr>
        <w:t>non-recognized institut</w:t>
      </w:r>
      <w:r>
        <w:rPr>
          <w:sz w:val="24"/>
        </w:rPr>
        <w:t xml:space="preserve">es may not offer </w:t>
      </w:r>
      <w:proofErr w:type="gramStart"/>
      <w:r>
        <w:rPr>
          <w:sz w:val="24"/>
        </w:rPr>
        <w:t>them.</w:t>
      </w:r>
      <w:proofErr w:type="gramEnd"/>
      <w:r>
        <w:rPr>
          <w:sz w:val="24"/>
        </w:rPr>
        <w:t xml:space="preserve">  The lowest qualification is the National Certificate.  These and other qualifications may be taken in parts, say three, so that </w:t>
      </w:r>
      <w:r>
        <w:rPr>
          <w:sz w:val="24"/>
        </w:rPr>
        <w:t>a person may take Part</w:t>
      </w:r>
      <w:r>
        <w:rPr>
          <w:sz w:val="24"/>
        </w:rPr>
        <w:t xml:space="preserve"> 1 of the National Certificate</w:t>
      </w:r>
      <w:r>
        <w:rPr>
          <w:sz w:val="24"/>
        </w:rPr>
        <w:t xml:space="preserve"> in Information Technology</w:t>
      </w:r>
      <w:r>
        <w:rPr>
          <w:sz w:val="24"/>
        </w:rPr>
        <w:t xml:space="preserve"> </w:t>
      </w:r>
      <w:r>
        <w:rPr>
          <w:sz w:val="24"/>
        </w:rPr>
        <w:t>at one time, and take the</w:t>
      </w:r>
      <w:r>
        <w:rPr>
          <w:sz w:val="24"/>
        </w:rPr>
        <w:t xml:space="preserve"> remaining parts later.  This </w:t>
      </w:r>
      <w:r>
        <w:rPr>
          <w:sz w:val="24"/>
        </w:rPr>
        <w:t>division</w:t>
      </w:r>
      <w:r>
        <w:rPr>
          <w:sz w:val="24"/>
        </w:rPr>
        <w:t xml:space="preserve"> increases the flexibility of the courses so that people are encouraged to</w:t>
      </w:r>
      <w:r>
        <w:rPr>
          <w:sz w:val="24"/>
        </w:rPr>
        <w:t xml:space="preserve"> keep on studying</w:t>
      </w:r>
      <w:r>
        <w:rPr>
          <w:sz w:val="24"/>
        </w:rPr>
        <w:t>.</w:t>
      </w:r>
      <w:r>
        <w:rPr>
          <w:sz w:val="24"/>
        </w:rPr>
        <w:t xml:space="preserve">   Up to the Second Degree (</w:t>
      </w:r>
      <w:proofErr w:type="spellStart"/>
      <w:r>
        <w:rPr>
          <w:sz w:val="24"/>
        </w:rPr>
        <w:t>masterate</w:t>
      </w:r>
      <w:proofErr w:type="spellEnd"/>
      <w:r>
        <w:rPr>
          <w:sz w:val="24"/>
        </w:rPr>
        <w:t xml:space="preserve">), the diagram shows that the qualifications are </w:t>
      </w:r>
      <w:r>
        <w:rPr>
          <w:sz w:val="24"/>
        </w:rPr>
        <w:t xml:space="preserve">one </w:t>
      </w:r>
      <w:r>
        <w:rPr>
          <w:sz w:val="24"/>
        </w:rPr>
        <w:t>academic-</w:t>
      </w:r>
      <w:r>
        <w:rPr>
          <w:sz w:val="24"/>
        </w:rPr>
        <w:t xml:space="preserve">year </w:t>
      </w:r>
      <w:r>
        <w:rPr>
          <w:sz w:val="24"/>
        </w:rPr>
        <w:t>long</w:t>
      </w:r>
      <w:r>
        <w:rPr>
          <w:sz w:val="24"/>
        </w:rPr>
        <w:t xml:space="preserve"> i</w:t>
      </w:r>
      <w:r>
        <w:rPr>
          <w:sz w:val="24"/>
        </w:rPr>
        <w:t>f</w:t>
      </w:r>
      <w:r>
        <w:rPr>
          <w:sz w:val="24"/>
        </w:rPr>
        <w:t xml:space="preserve"> taken full-tim</w:t>
      </w:r>
      <w:r>
        <w:rPr>
          <w:sz w:val="24"/>
        </w:rPr>
        <w:t xml:space="preserve">e. </w:t>
      </w:r>
    </w:p>
    <w:p w:rsidR="00000000" w:rsidRDefault="00025EA8">
      <w:pPr>
        <w:pStyle w:val="BodyText"/>
        <w:tabs>
          <w:tab w:val="left" w:pos="-720"/>
        </w:tabs>
        <w:ind w:left="2880"/>
        <w:rPr>
          <w:sz w:val="24"/>
        </w:rPr>
      </w:pPr>
    </w:p>
    <w:p w:rsidR="00000000" w:rsidRDefault="00025EA8">
      <w:pPr>
        <w:pStyle w:val="BodyText"/>
        <w:tabs>
          <w:tab w:val="left" w:pos="-720"/>
        </w:tabs>
        <w:ind w:left="2880"/>
        <w:rPr>
          <w:sz w:val="24"/>
        </w:rPr>
      </w:pPr>
    </w:p>
    <w:p w:rsidR="00000000" w:rsidRDefault="00025EA8">
      <w:pPr>
        <w:pStyle w:val="BodyText"/>
        <w:tabs>
          <w:tab w:val="left" w:pos="-720"/>
          <w:tab w:val="left" w:pos="3060"/>
        </w:tabs>
        <w:rPr>
          <w:sz w:val="24"/>
        </w:rPr>
      </w:pPr>
      <w:r>
        <w:rPr>
          <w:noProof/>
          <w:sz w:val="24"/>
        </w:rPr>
        <w:pict>
          <v:shape id="_x0000_s1092" type="#_x0000_t202" style="position:absolute;margin-left:10.8pt;margin-top:9.3pt;width:100.8pt;height:28.8pt;z-index:251656192;mso-position-horizontal:absolute;mso-position-horizontal-relative:text;mso-position-vertical:absolute;mso-position-vertical-relative:text" o:allowincell="f" stroked="f">
            <v:textbox style="mso-next-textbox:#_x0000_s1092">
              <w:txbxContent>
                <w:p w:rsidR="00000000" w:rsidRDefault="00025EA8">
                  <w:pPr>
                    <w:pStyle w:val="Heading3"/>
                  </w:pPr>
                  <w:r>
                    <w:t>Benefits</w:t>
                  </w:r>
                </w:p>
              </w:txbxContent>
            </v:textbox>
          </v:shape>
        </w:pict>
      </w:r>
    </w:p>
    <w:p w:rsidR="00000000" w:rsidRDefault="00025EA8">
      <w:pPr>
        <w:pStyle w:val="BodyText"/>
        <w:tabs>
          <w:tab w:val="left" w:pos="-720"/>
        </w:tabs>
        <w:ind w:left="2880"/>
        <w:rPr>
          <w:sz w:val="24"/>
        </w:rPr>
      </w:pPr>
      <w:r>
        <w:rPr>
          <w:sz w:val="24"/>
        </w:rPr>
        <w:t>Q</w:t>
      </w:r>
      <w:r>
        <w:rPr>
          <w:sz w:val="24"/>
        </w:rPr>
        <w:t>ualification</w:t>
      </w:r>
      <w:r>
        <w:rPr>
          <w:sz w:val="24"/>
        </w:rPr>
        <w:t>s</w:t>
      </w:r>
      <w:r>
        <w:rPr>
          <w:sz w:val="24"/>
        </w:rPr>
        <w:t xml:space="preserve"> reco</w:t>
      </w:r>
      <w:r>
        <w:rPr>
          <w:sz w:val="24"/>
        </w:rPr>
        <w:t>g</w:t>
      </w:r>
      <w:r>
        <w:rPr>
          <w:sz w:val="24"/>
        </w:rPr>
        <w:t>n</w:t>
      </w:r>
      <w:r>
        <w:rPr>
          <w:sz w:val="24"/>
        </w:rPr>
        <w:t xml:space="preserve">ized </w:t>
      </w:r>
      <w:r>
        <w:rPr>
          <w:sz w:val="24"/>
        </w:rPr>
        <w:t>within the National Qualifications Framewo</w:t>
      </w:r>
      <w:r>
        <w:rPr>
          <w:sz w:val="24"/>
        </w:rPr>
        <w:t>rk will be:</w:t>
      </w:r>
    </w:p>
    <w:p w:rsidR="00000000" w:rsidRDefault="00025EA8">
      <w:pPr>
        <w:pStyle w:val="BodyText"/>
        <w:numPr>
          <w:ilvl w:val="0"/>
          <w:numId w:val="4"/>
        </w:numPr>
        <w:tabs>
          <w:tab w:val="clear" w:pos="360"/>
          <w:tab w:val="left" w:pos="-720"/>
          <w:tab w:val="num" w:pos="3240"/>
        </w:tabs>
        <w:ind w:left="3240"/>
        <w:rPr>
          <w:sz w:val="24"/>
        </w:rPr>
      </w:pPr>
      <w:r>
        <w:rPr>
          <w:sz w:val="24"/>
        </w:rPr>
        <w:t>C</w:t>
      </w:r>
      <w:r>
        <w:rPr>
          <w:sz w:val="24"/>
        </w:rPr>
        <w:t xml:space="preserve">redible </w:t>
      </w:r>
      <w:r>
        <w:rPr>
          <w:sz w:val="24"/>
        </w:rPr>
        <w:t xml:space="preserve">and useful </w:t>
      </w:r>
      <w:r>
        <w:rPr>
          <w:sz w:val="24"/>
        </w:rPr>
        <w:t>to the</w:t>
      </w:r>
      <w:r>
        <w:rPr>
          <w:sz w:val="24"/>
        </w:rPr>
        <w:t xml:space="preserve"> </w:t>
      </w:r>
      <w:r>
        <w:rPr>
          <w:sz w:val="24"/>
        </w:rPr>
        <w:t>employers</w:t>
      </w:r>
    </w:p>
    <w:p w:rsidR="00000000" w:rsidRDefault="00025EA8">
      <w:pPr>
        <w:pStyle w:val="BodyText"/>
        <w:numPr>
          <w:ilvl w:val="0"/>
          <w:numId w:val="4"/>
        </w:numPr>
        <w:tabs>
          <w:tab w:val="clear" w:pos="360"/>
          <w:tab w:val="left" w:pos="-720"/>
          <w:tab w:val="num" w:pos="3240"/>
        </w:tabs>
        <w:ind w:left="3240"/>
        <w:rPr>
          <w:sz w:val="24"/>
        </w:rPr>
      </w:pPr>
      <w:r>
        <w:rPr>
          <w:sz w:val="24"/>
        </w:rPr>
        <w:t>Readily understood by the public</w:t>
      </w:r>
    </w:p>
    <w:p w:rsidR="00000000" w:rsidRDefault="00025EA8">
      <w:pPr>
        <w:pStyle w:val="BodyText"/>
        <w:numPr>
          <w:ilvl w:val="0"/>
          <w:numId w:val="4"/>
        </w:numPr>
        <w:tabs>
          <w:tab w:val="clear" w:pos="360"/>
          <w:tab w:val="left" w:pos="-720"/>
          <w:tab w:val="num" w:pos="3240"/>
        </w:tabs>
        <w:ind w:left="3240"/>
        <w:rPr>
          <w:sz w:val="24"/>
        </w:rPr>
      </w:pPr>
      <w:r>
        <w:rPr>
          <w:sz w:val="24"/>
        </w:rPr>
        <w:t xml:space="preserve">Able to give students opportunity to advance </w:t>
      </w:r>
      <w:proofErr w:type="gramStart"/>
      <w:r>
        <w:rPr>
          <w:sz w:val="24"/>
        </w:rPr>
        <w:t xml:space="preserve">their </w:t>
      </w:r>
      <w:r>
        <w:rPr>
          <w:sz w:val="24"/>
        </w:rPr>
        <w:t xml:space="preserve"> </w:t>
      </w:r>
      <w:r>
        <w:rPr>
          <w:sz w:val="24"/>
        </w:rPr>
        <w:t>learning</w:t>
      </w:r>
      <w:proofErr w:type="gramEnd"/>
      <w:r>
        <w:rPr>
          <w:sz w:val="24"/>
        </w:rPr>
        <w:t xml:space="preserve"> throughout their lives.</w:t>
      </w:r>
    </w:p>
    <w:p w:rsidR="00000000" w:rsidRDefault="00025EA8">
      <w:pPr>
        <w:pStyle w:val="BodyText"/>
        <w:tabs>
          <w:tab w:val="left" w:pos="-720"/>
        </w:tabs>
        <w:ind w:left="2880"/>
        <w:rPr>
          <w:sz w:val="24"/>
        </w:rPr>
      </w:pPr>
    </w:p>
    <w:p w:rsidR="00000000" w:rsidRDefault="00025EA8">
      <w:pPr>
        <w:pStyle w:val="BodyText"/>
        <w:tabs>
          <w:tab w:val="left" w:pos="-720"/>
        </w:tabs>
        <w:ind w:left="2880"/>
        <w:rPr>
          <w:sz w:val="24"/>
        </w:rPr>
      </w:pPr>
      <w:r>
        <w:rPr>
          <w:sz w:val="24"/>
        </w:rPr>
        <w:t>In particular the learners will be assured a qualification that is</w:t>
      </w:r>
      <w:r>
        <w:rPr>
          <w:sz w:val="24"/>
        </w:rPr>
        <w:t>:</w:t>
      </w:r>
    </w:p>
    <w:p w:rsidR="00000000" w:rsidRDefault="00025EA8">
      <w:pPr>
        <w:pStyle w:val="BodyText"/>
        <w:numPr>
          <w:ilvl w:val="0"/>
          <w:numId w:val="1"/>
        </w:numPr>
        <w:tabs>
          <w:tab w:val="clear" w:pos="360"/>
          <w:tab w:val="left" w:pos="-720"/>
          <w:tab w:val="num" w:pos="3240"/>
        </w:tabs>
        <w:ind w:left="3240"/>
        <w:rPr>
          <w:sz w:val="24"/>
        </w:rPr>
      </w:pPr>
      <w:r>
        <w:rPr>
          <w:sz w:val="24"/>
        </w:rPr>
        <w:t>F</w:t>
      </w:r>
      <w:r>
        <w:rPr>
          <w:sz w:val="24"/>
        </w:rPr>
        <w:t xml:space="preserve">ormally </w:t>
      </w:r>
      <w:r>
        <w:rPr>
          <w:sz w:val="24"/>
        </w:rPr>
        <w:t xml:space="preserve">recognized </w:t>
      </w:r>
      <w:r>
        <w:rPr>
          <w:sz w:val="24"/>
        </w:rPr>
        <w:t>b</w:t>
      </w:r>
      <w:r>
        <w:rPr>
          <w:sz w:val="24"/>
        </w:rPr>
        <w:t>y the</w:t>
      </w:r>
      <w:r>
        <w:rPr>
          <w:sz w:val="24"/>
        </w:rPr>
        <w:t xml:space="preserve"> </w:t>
      </w:r>
      <w:r>
        <w:rPr>
          <w:sz w:val="24"/>
        </w:rPr>
        <w:t>govern</w:t>
      </w:r>
      <w:r>
        <w:rPr>
          <w:sz w:val="24"/>
        </w:rPr>
        <w:t>ment</w:t>
      </w:r>
    </w:p>
    <w:p w:rsidR="00000000" w:rsidRDefault="00025EA8">
      <w:pPr>
        <w:pStyle w:val="BodyText"/>
        <w:numPr>
          <w:ilvl w:val="0"/>
          <w:numId w:val="1"/>
        </w:numPr>
        <w:tabs>
          <w:tab w:val="clear" w:pos="360"/>
          <w:tab w:val="left" w:pos="-720"/>
          <w:tab w:val="num" w:pos="3240"/>
        </w:tabs>
        <w:ind w:left="3240"/>
        <w:rPr>
          <w:sz w:val="24"/>
        </w:rPr>
      </w:pPr>
      <w:r>
        <w:rPr>
          <w:sz w:val="24"/>
        </w:rPr>
        <w:t>P</w:t>
      </w:r>
      <w:r>
        <w:rPr>
          <w:sz w:val="24"/>
        </w:rPr>
        <w:t xml:space="preserve">ortable </w:t>
      </w:r>
      <w:r>
        <w:rPr>
          <w:sz w:val="24"/>
        </w:rPr>
        <w:t>for various other courses</w:t>
      </w:r>
      <w:r>
        <w:rPr>
          <w:sz w:val="24"/>
        </w:rPr>
        <w:t xml:space="preserve"> the learner may take</w:t>
      </w:r>
      <w:r>
        <w:rPr>
          <w:sz w:val="24"/>
        </w:rPr>
        <w:t xml:space="preserve"> in the</w:t>
      </w:r>
      <w:r>
        <w:rPr>
          <w:sz w:val="24"/>
        </w:rPr>
        <w:t xml:space="preserve"> </w:t>
      </w:r>
      <w:r>
        <w:rPr>
          <w:sz w:val="24"/>
        </w:rPr>
        <w:t>future</w:t>
      </w:r>
    </w:p>
    <w:p w:rsidR="00000000" w:rsidRDefault="00025EA8">
      <w:pPr>
        <w:pStyle w:val="BodyText"/>
        <w:numPr>
          <w:ilvl w:val="0"/>
          <w:numId w:val="1"/>
        </w:numPr>
        <w:tabs>
          <w:tab w:val="clear" w:pos="360"/>
          <w:tab w:val="left" w:pos="-720"/>
          <w:tab w:val="num" w:pos="3240"/>
        </w:tabs>
        <w:ind w:left="3240"/>
        <w:rPr>
          <w:sz w:val="24"/>
        </w:rPr>
      </w:pPr>
      <w:r>
        <w:rPr>
          <w:sz w:val="24"/>
        </w:rPr>
        <w:t>Likely to provide g</w:t>
      </w:r>
      <w:r>
        <w:rPr>
          <w:sz w:val="24"/>
        </w:rPr>
        <w:t>reater choice and flexibility in what, where and how to learn</w:t>
      </w:r>
      <w:r>
        <w:rPr>
          <w:sz w:val="24"/>
        </w:rPr>
        <w:t>.</w:t>
      </w:r>
    </w:p>
    <w:p w:rsidR="00000000" w:rsidRDefault="00025EA8">
      <w:pPr>
        <w:pStyle w:val="BodyText"/>
        <w:tabs>
          <w:tab w:val="left" w:pos="-720"/>
        </w:tabs>
        <w:ind w:firstLine="720"/>
        <w:rPr>
          <w:sz w:val="24"/>
        </w:rPr>
      </w:pP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>For the employers, a national qualification framework would mean</w:t>
      </w:r>
      <w:r>
        <w:rPr>
          <w:sz w:val="24"/>
        </w:rPr>
        <w:t>:</w:t>
      </w:r>
    </w:p>
    <w:p w:rsidR="00000000" w:rsidRDefault="00025EA8">
      <w:pPr>
        <w:pStyle w:val="BodyText"/>
        <w:numPr>
          <w:ilvl w:val="0"/>
          <w:numId w:val="2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E</w:t>
      </w:r>
      <w:r>
        <w:rPr>
          <w:sz w:val="24"/>
        </w:rPr>
        <w:t xml:space="preserve">ducation </w:t>
      </w:r>
      <w:r>
        <w:rPr>
          <w:sz w:val="24"/>
        </w:rPr>
        <w:t>and trainin</w:t>
      </w:r>
      <w:r>
        <w:rPr>
          <w:sz w:val="24"/>
        </w:rPr>
        <w:t>g designed in consultation with industry for the indust</w:t>
      </w:r>
      <w:r>
        <w:rPr>
          <w:sz w:val="24"/>
        </w:rPr>
        <w:t>r</w:t>
      </w:r>
      <w:r>
        <w:rPr>
          <w:sz w:val="24"/>
        </w:rPr>
        <w:t>y</w:t>
      </w:r>
    </w:p>
    <w:p w:rsidR="00000000" w:rsidRDefault="00025EA8">
      <w:pPr>
        <w:pStyle w:val="BodyText"/>
        <w:numPr>
          <w:ilvl w:val="0"/>
          <w:numId w:val="2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A</w:t>
      </w:r>
      <w:r>
        <w:rPr>
          <w:sz w:val="24"/>
        </w:rPr>
        <w:t xml:space="preserve"> </w:t>
      </w:r>
      <w:r>
        <w:rPr>
          <w:sz w:val="24"/>
        </w:rPr>
        <w:t>more skilled and adaptable workforce</w:t>
      </w:r>
    </w:p>
    <w:p w:rsidR="00000000" w:rsidRDefault="00025EA8">
      <w:pPr>
        <w:pStyle w:val="BodyText"/>
        <w:numPr>
          <w:ilvl w:val="0"/>
          <w:numId w:val="2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S</w:t>
      </w:r>
      <w:r>
        <w:rPr>
          <w:sz w:val="24"/>
        </w:rPr>
        <w:t>tandards-</w:t>
      </w:r>
      <w:r>
        <w:rPr>
          <w:sz w:val="24"/>
        </w:rPr>
        <w:t>based training with measurable outcomes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 xml:space="preserve">The providers will benefit from a national qualifications framework </w:t>
      </w:r>
      <w:r>
        <w:rPr>
          <w:sz w:val="24"/>
        </w:rPr>
        <w:t>by being able to</w:t>
      </w:r>
    </w:p>
    <w:p w:rsidR="00000000" w:rsidRDefault="00025EA8">
      <w:pPr>
        <w:pStyle w:val="BodyText"/>
        <w:numPr>
          <w:ilvl w:val="0"/>
          <w:numId w:val="3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C</w:t>
      </w:r>
      <w:r>
        <w:rPr>
          <w:sz w:val="24"/>
        </w:rPr>
        <w:t>ross-</w:t>
      </w:r>
      <w:r>
        <w:rPr>
          <w:sz w:val="24"/>
        </w:rPr>
        <w:t>credit between se</w:t>
      </w:r>
      <w:r>
        <w:rPr>
          <w:sz w:val="24"/>
        </w:rPr>
        <w:t>ctors and providers</w:t>
      </w:r>
    </w:p>
    <w:p w:rsidR="00000000" w:rsidRDefault="00025EA8">
      <w:pPr>
        <w:pStyle w:val="BodyText"/>
        <w:numPr>
          <w:ilvl w:val="0"/>
          <w:numId w:val="3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 xml:space="preserve">Expand the range of </w:t>
      </w:r>
      <w:proofErr w:type="spellStart"/>
      <w:r>
        <w:rPr>
          <w:sz w:val="24"/>
        </w:rPr>
        <w:t>programmes</w:t>
      </w:r>
      <w:proofErr w:type="spellEnd"/>
      <w:r>
        <w:rPr>
          <w:sz w:val="24"/>
        </w:rPr>
        <w:t xml:space="preserve"> offered</w:t>
      </w:r>
    </w:p>
    <w:p w:rsidR="00000000" w:rsidRDefault="00025EA8">
      <w:pPr>
        <w:pStyle w:val="BodyText"/>
        <w:numPr>
          <w:ilvl w:val="0"/>
          <w:numId w:val="3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Provide training for a nationally-reco</w:t>
      </w:r>
      <w:r>
        <w:rPr>
          <w:sz w:val="24"/>
        </w:rPr>
        <w:t>g</w:t>
      </w:r>
      <w:r>
        <w:rPr>
          <w:sz w:val="24"/>
        </w:rPr>
        <w:t>n</w:t>
      </w:r>
      <w:r>
        <w:rPr>
          <w:sz w:val="24"/>
        </w:rPr>
        <w:t>ized qualification</w: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</w:r>
    </w:p>
    <w:p w:rsidR="00000000" w:rsidRDefault="00025EA8">
      <w:pPr>
        <w:pStyle w:val="BodyText"/>
        <w:rPr>
          <w:sz w:val="24"/>
        </w:rPr>
      </w:pPr>
    </w:p>
    <w:p w:rsidR="00000000" w:rsidRDefault="00025EA8">
      <w:pPr>
        <w:pStyle w:val="BodyText"/>
        <w:rPr>
          <w:sz w:val="24"/>
        </w:rPr>
      </w:pPr>
    </w:p>
    <w:p w:rsidR="00000000" w:rsidRDefault="00025EA8">
      <w:pPr>
        <w:pStyle w:val="BodyText"/>
        <w:ind w:left="2880" w:hanging="2880"/>
        <w:rPr>
          <w:i/>
          <w:sz w:val="24"/>
        </w:rPr>
      </w:pPr>
      <w:r>
        <w:rPr>
          <w:noProof/>
          <w:sz w:val="24"/>
        </w:rPr>
        <w:pict>
          <v:shape id="_x0000_s1093" type="#_x0000_t202" style="position:absolute;left:0;text-align:left;margin-left:3.6pt;margin-top:0;width:100.8pt;height:57.6pt;z-index:251657216;mso-position-horizontal:absolute;mso-position-horizontal-relative:text;mso-position-vertical:absolute;mso-position-vertical-relative:text" o:allowincell="f" stroked="f">
            <v:textbox style="mso-next-textbox:#_x0000_s1093">
              <w:txbxContent>
                <w:p w:rsidR="00000000" w:rsidRDefault="00025EA8">
                  <w:pPr>
                    <w:pStyle w:val="Heading3"/>
                  </w:pPr>
                  <w:r>
                    <w:t>R</w:t>
                  </w:r>
                  <w:r>
                    <w:t>ecognition</w:t>
                  </w:r>
                  <w:r>
                    <w:t xml:space="preserve"> Criteria</w:t>
                  </w:r>
                </w:p>
              </w:txbxContent>
            </v:textbox>
          </v:shape>
        </w:pict>
      </w:r>
      <w:r>
        <w:rPr>
          <w:sz w:val="24"/>
        </w:rPr>
        <w:tab/>
      </w:r>
      <w:r>
        <w:rPr>
          <w:sz w:val="24"/>
        </w:rPr>
        <w:t>For a qua</w:t>
      </w:r>
      <w:r>
        <w:rPr>
          <w:sz w:val="24"/>
        </w:rPr>
        <w:t xml:space="preserve">lification to be recognized within the NQF, it should meet or exceed a clearly specified </w:t>
      </w:r>
      <w:r>
        <w:rPr>
          <w:i/>
          <w:sz w:val="24"/>
        </w:rPr>
        <w:t>quality</w:t>
      </w:r>
      <w:r>
        <w:rPr>
          <w:sz w:val="24"/>
        </w:rPr>
        <w:t xml:space="preserve"> </w:t>
      </w:r>
      <w:r>
        <w:rPr>
          <w:i/>
          <w:sz w:val="24"/>
        </w:rPr>
        <w:t>benchmark.</w:t>
      </w: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>The quality be</w:t>
      </w:r>
      <w:r>
        <w:rPr>
          <w:sz w:val="24"/>
        </w:rPr>
        <w:t xml:space="preserve">nchmark will include </w:t>
      </w:r>
    </w:p>
    <w:p w:rsidR="00000000" w:rsidRDefault="00025EA8">
      <w:pPr>
        <w:pStyle w:val="BodyText"/>
        <w:numPr>
          <w:ilvl w:val="0"/>
          <w:numId w:val="6"/>
        </w:numPr>
        <w:rPr>
          <w:sz w:val="24"/>
        </w:rPr>
      </w:pPr>
      <w:r>
        <w:rPr>
          <w:sz w:val="24"/>
        </w:rPr>
        <w:t>clearly stated outcomes (statements about what students know or can do)</w:t>
      </w:r>
    </w:p>
    <w:p w:rsidR="00000000" w:rsidRDefault="00025EA8">
      <w:pPr>
        <w:pStyle w:val="BodyText"/>
        <w:numPr>
          <w:ilvl w:val="0"/>
          <w:numId w:val="6"/>
        </w:numPr>
        <w:rPr>
          <w:sz w:val="24"/>
        </w:rPr>
      </w:pPr>
      <w:r>
        <w:rPr>
          <w:sz w:val="24"/>
        </w:rPr>
        <w:t>assessment criteria which is valid and reliable</w:t>
      </w:r>
    </w:p>
    <w:p w:rsidR="00000000" w:rsidRDefault="00025EA8">
      <w:pPr>
        <w:pStyle w:val="BodyText"/>
        <w:numPr>
          <w:ilvl w:val="0"/>
          <w:numId w:val="6"/>
        </w:numPr>
        <w:rPr>
          <w:sz w:val="24"/>
        </w:rPr>
      </w:pPr>
      <w:proofErr w:type="gramStart"/>
      <w:r>
        <w:rPr>
          <w:sz w:val="24"/>
        </w:rPr>
        <w:t>entry</w:t>
      </w:r>
      <w:proofErr w:type="gramEnd"/>
      <w:r>
        <w:rPr>
          <w:sz w:val="24"/>
        </w:rPr>
        <w:t>, exit and transfer characteristics of students studying for the qualification.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>There should be a common cur</w:t>
      </w:r>
      <w:r>
        <w:rPr>
          <w:sz w:val="24"/>
        </w:rPr>
        <w:t>rency for measuring some of th</w:t>
      </w:r>
      <w:r>
        <w:rPr>
          <w:sz w:val="24"/>
        </w:rPr>
        <w:t xml:space="preserve">e above so that transfer between different learning </w:t>
      </w:r>
      <w:proofErr w:type="spellStart"/>
      <w:r>
        <w:rPr>
          <w:sz w:val="24"/>
        </w:rPr>
        <w:t>programmes</w:t>
      </w:r>
      <w:proofErr w:type="spellEnd"/>
      <w:r>
        <w:rPr>
          <w:sz w:val="24"/>
        </w:rPr>
        <w:t xml:space="preserve"> is ea</w:t>
      </w:r>
      <w:r>
        <w:rPr>
          <w:sz w:val="24"/>
        </w:rPr>
        <w:t>s</w:t>
      </w:r>
      <w:r>
        <w:rPr>
          <w:sz w:val="24"/>
        </w:rPr>
        <w:t>y and flexible.</w:t>
      </w:r>
      <w:r>
        <w:rPr>
          <w:sz w:val="24"/>
        </w:rPr>
        <w:t xml:space="preserve">  </w:t>
      </w:r>
      <w:r>
        <w:rPr>
          <w:i/>
          <w:sz w:val="24"/>
        </w:rPr>
        <w:t>Credit values</w:t>
      </w:r>
      <w:r>
        <w:rPr>
          <w:sz w:val="24"/>
        </w:rPr>
        <w:t xml:space="preserve"> and </w:t>
      </w:r>
      <w:r>
        <w:rPr>
          <w:i/>
          <w:sz w:val="24"/>
        </w:rPr>
        <w:t>levels</w:t>
      </w:r>
      <w:r>
        <w:rPr>
          <w:sz w:val="24"/>
        </w:rPr>
        <w:t xml:space="preserve"> are two such currencies used overseas.</w:t>
      </w:r>
      <w:r>
        <w:rPr>
          <w:sz w:val="24"/>
        </w:rPr>
        <w:t xml:space="preserve">  In the proposed framework, there are 12 levels.  The first level is placed </w:t>
      </w:r>
      <w:r>
        <w:rPr>
          <w:sz w:val="24"/>
        </w:rPr>
        <w:t>at Grade 10 standard.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>The bod</w:t>
      </w:r>
      <w:r>
        <w:rPr>
          <w:sz w:val="24"/>
        </w:rPr>
        <w:t>ies</w:t>
      </w:r>
      <w:r>
        <w:rPr>
          <w:sz w:val="24"/>
        </w:rPr>
        <w:t xml:space="preserve"> reco</w:t>
      </w:r>
      <w:r>
        <w:rPr>
          <w:sz w:val="24"/>
        </w:rPr>
        <w:t>gnizing a qua</w:t>
      </w:r>
      <w:r>
        <w:rPr>
          <w:sz w:val="24"/>
        </w:rPr>
        <w:t xml:space="preserve">lification within the NQF </w:t>
      </w:r>
      <w:proofErr w:type="gramStart"/>
      <w:r>
        <w:rPr>
          <w:sz w:val="24"/>
        </w:rPr>
        <w:t>themselves</w:t>
      </w:r>
      <w:proofErr w:type="gramEnd"/>
      <w:r>
        <w:rPr>
          <w:sz w:val="24"/>
        </w:rPr>
        <w:t xml:space="preserve"> must not be developers or providers of qual</w:t>
      </w:r>
      <w:r>
        <w:rPr>
          <w:sz w:val="24"/>
        </w:rPr>
        <w:t>i</w:t>
      </w:r>
      <w:r>
        <w:rPr>
          <w:sz w:val="24"/>
        </w:rPr>
        <w:t>fications.  For this reason, Maldives College of Higher Education cannot take on the responsibility</w:t>
      </w:r>
      <w:r>
        <w:t xml:space="preserve"> of </w:t>
      </w:r>
      <w:r>
        <w:rPr>
          <w:sz w:val="24"/>
        </w:rPr>
        <w:t>approving qualificati</w:t>
      </w:r>
      <w:r>
        <w:rPr>
          <w:sz w:val="24"/>
        </w:rPr>
        <w:t>ons in the NQF.</w:t>
      </w:r>
    </w:p>
    <w:p w:rsidR="00000000" w:rsidRDefault="00025EA8">
      <w:pPr>
        <w:pStyle w:val="BodyText"/>
        <w:ind w:left="2880"/>
      </w:pPr>
    </w:p>
    <w:p w:rsidR="00000000" w:rsidRDefault="00025EA8">
      <w:pPr>
        <w:pStyle w:val="BodyText"/>
      </w:pPr>
    </w:p>
    <w:p w:rsidR="00000000" w:rsidRDefault="00025EA8">
      <w:pPr>
        <w:pStyle w:val="Title"/>
        <w:ind w:left="2880"/>
      </w:pPr>
      <w:r>
        <w:rPr>
          <w:noProof/>
          <w:sz w:val="24"/>
        </w:rPr>
        <w:pict>
          <v:shape id="_x0000_s1094" type="#_x0000_t202" style="position:absolute;left:0;text-align:left;margin-left:10.8pt;margin-top:19.3pt;width:100.8pt;height:57.6pt;z-index:251658240;mso-position-horizontal:absolute;mso-position-horizontal-relative:text;mso-position-vertical:absolute;mso-position-vertical-relative:text" o:allowincell="f" stroked="f">
            <v:textbox style="mso-next-textbox:#_x0000_s1094">
              <w:txbxContent>
                <w:p w:rsidR="00000000" w:rsidRDefault="00025EA8">
                  <w:pPr>
                    <w:pStyle w:val="Heading3"/>
                  </w:pPr>
                  <w:proofErr w:type="gramStart"/>
                  <w:r>
                    <w:t>R</w:t>
                  </w:r>
                  <w:r>
                    <w:t>ecognition</w:t>
                  </w:r>
                  <w:r>
                    <w:t xml:space="preserve"> </w:t>
                  </w:r>
                  <w:r>
                    <w:t xml:space="preserve"> of</w:t>
                  </w:r>
                  <w:proofErr w:type="gramEnd"/>
                  <w:r>
                    <w:t xml:space="preserve"> existing qualifications</w:t>
                  </w:r>
                </w:p>
              </w:txbxContent>
            </v:textbox>
          </v:shape>
        </w:pict>
      </w: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 xml:space="preserve">Qualifications which are currently accredited by various </w:t>
      </w:r>
      <w:r>
        <w:rPr>
          <w:sz w:val="24"/>
        </w:rPr>
        <w:t xml:space="preserve">external </w:t>
      </w:r>
      <w:r>
        <w:rPr>
          <w:sz w:val="24"/>
        </w:rPr>
        <w:t>b</w:t>
      </w:r>
      <w:r>
        <w:rPr>
          <w:sz w:val="24"/>
        </w:rPr>
        <w:t xml:space="preserve">odies will be automatically recognized </w:t>
      </w:r>
      <w:r>
        <w:rPr>
          <w:sz w:val="24"/>
        </w:rPr>
        <w:t xml:space="preserve">at the appropriate level </w:t>
      </w:r>
      <w:r>
        <w:rPr>
          <w:sz w:val="24"/>
        </w:rPr>
        <w:t>within the NQF without further assessment</w:t>
      </w:r>
      <w:r>
        <w:rPr>
          <w:sz w:val="24"/>
        </w:rPr>
        <w:t>.</w:t>
      </w:r>
      <w:r>
        <w:rPr>
          <w:sz w:val="24"/>
        </w:rPr>
        <w:t xml:space="preserve">  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>I</w:t>
      </w:r>
      <w:r>
        <w:rPr>
          <w:sz w:val="24"/>
        </w:rPr>
        <w:t xml:space="preserve">t </w:t>
      </w:r>
      <w:r>
        <w:rPr>
          <w:sz w:val="24"/>
        </w:rPr>
        <w:t>is proposed that all qualifications offered by MCHE shou</w:t>
      </w:r>
      <w:r>
        <w:rPr>
          <w:sz w:val="24"/>
        </w:rPr>
        <w:t>ld be assessed periodically by the body responsible for accreditation of qualifications within the NQF.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sz w:val="24"/>
        </w:rPr>
      </w:pPr>
      <w:r>
        <w:rPr>
          <w:noProof/>
          <w:sz w:val="24"/>
        </w:rPr>
        <w:pict>
          <v:shape id="_x0000_s1150" type="#_x0000_t202" style="position:absolute;left:0;text-align:left;margin-left:10.8pt;margin-top:2.95pt;width:100.8pt;height:28.8pt;z-index:251660288;mso-position-horizontal:absolute;mso-position-horizontal-relative:text;mso-position-vertical:absolute;mso-position-vertical-relative:text" o:allowincell="f" stroked="f">
            <v:textbox style="mso-next-textbox:#_x0000_s1150">
              <w:txbxContent>
                <w:p w:rsidR="00000000" w:rsidRDefault="00025EA8">
                  <w:pPr>
                    <w:pStyle w:val="Heading3"/>
                  </w:pPr>
                  <w:r>
                    <w:t>Accreditation</w:t>
                  </w:r>
                </w:p>
              </w:txbxContent>
            </v:textbox>
          </v:shape>
        </w:pict>
      </w: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 xml:space="preserve">Accreditation is a process </w:t>
      </w:r>
      <w:r>
        <w:rPr>
          <w:sz w:val="24"/>
        </w:rPr>
        <w:t>of</w:t>
      </w:r>
    </w:p>
    <w:p w:rsidR="00000000" w:rsidRDefault="00025EA8">
      <w:pPr>
        <w:pStyle w:val="BodyText"/>
        <w:numPr>
          <w:ilvl w:val="0"/>
          <w:numId w:val="7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period</w:t>
      </w:r>
      <w:r>
        <w:rPr>
          <w:sz w:val="24"/>
        </w:rPr>
        <w:t>ic</w:t>
      </w:r>
      <w:r>
        <w:rPr>
          <w:sz w:val="24"/>
        </w:rPr>
        <w:t xml:space="preserve"> assessment of </w:t>
      </w:r>
      <w:proofErr w:type="spellStart"/>
      <w:r>
        <w:rPr>
          <w:sz w:val="24"/>
        </w:rPr>
        <w:t>programmes</w:t>
      </w:r>
      <w:proofErr w:type="spellEnd"/>
      <w:r>
        <w:rPr>
          <w:sz w:val="24"/>
        </w:rPr>
        <w:t xml:space="preserve"> (not institutions) </w:t>
      </w:r>
    </w:p>
    <w:p w:rsidR="00000000" w:rsidRDefault="00025EA8">
      <w:pPr>
        <w:pStyle w:val="BodyText"/>
        <w:numPr>
          <w:ilvl w:val="0"/>
          <w:numId w:val="7"/>
        </w:numPr>
        <w:tabs>
          <w:tab w:val="clear" w:pos="360"/>
          <w:tab w:val="num" w:pos="3240"/>
        </w:tabs>
        <w:ind w:left="3240"/>
        <w:rPr>
          <w:sz w:val="24"/>
        </w:rPr>
      </w:pPr>
      <w:proofErr w:type="gramStart"/>
      <w:r>
        <w:rPr>
          <w:sz w:val="24"/>
        </w:rPr>
        <w:t>quality</w:t>
      </w:r>
      <w:proofErr w:type="gramEnd"/>
      <w:r>
        <w:rPr>
          <w:sz w:val="24"/>
        </w:rPr>
        <w:t xml:space="preserve"> assurance for guidelines and protection of consumers</w:t>
      </w:r>
      <w:r>
        <w:rPr>
          <w:sz w:val="24"/>
        </w:rPr>
        <w:t>.</w:t>
      </w: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 xml:space="preserve">It is </w:t>
      </w:r>
      <w:r>
        <w:rPr>
          <w:sz w:val="24"/>
        </w:rPr>
        <w:t xml:space="preserve">proposed that accreditation be facilitative and optional and not mandatory.  A charge may be levied for accreditation to cover </w:t>
      </w:r>
      <w:r>
        <w:rPr>
          <w:sz w:val="24"/>
        </w:rPr>
        <w:t>the</w:t>
      </w:r>
      <w:r>
        <w:rPr>
          <w:sz w:val="24"/>
        </w:rPr>
        <w:t xml:space="preserve"> </w:t>
      </w:r>
      <w:r>
        <w:rPr>
          <w:sz w:val="24"/>
        </w:rPr>
        <w:t>lowest cost of the process.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sz w:val="24"/>
        </w:rPr>
      </w:pPr>
      <w:r>
        <w:rPr>
          <w:noProof/>
          <w:sz w:val="24"/>
        </w:rPr>
        <w:pict>
          <v:shape id="_x0000_s1151" type="#_x0000_t202" style="position:absolute;left:0;text-align:left;margin-left:18pt;margin-top:9.95pt;width:100.8pt;height:57.6pt;z-index:251661312;mso-position-horizontal:absolute;mso-position-horizontal-relative:text;mso-position-vertical:absolute;mso-position-vertical-relative:text" o:allowincell="f" stroked="f">
            <v:textbox style="mso-next-textbox:#_x0000_s1151">
              <w:txbxContent>
                <w:p w:rsidR="00000000" w:rsidRDefault="00025EA8">
                  <w:pPr>
                    <w:pStyle w:val="Heading3"/>
                  </w:pPr>
                  <w:r>
                    <w:t>Accr</w:t>
                  </w:r>
                  <w:r>
                    <w:t>editat</w:t>
                  </w:r>
                  <w:r>
                    <w:t>ion Cr</w:t>
                  </w:r>
                  <w:r>
                    <w:t>iteria</w:t>
                  </w:r>
                </w:p>
              </w:txbxContent>
            </v:textbox>
          </v:shape>
        </w:pict>
      </w:r>
    </w:p>
    <w:p w:rsidR="00000000" w:rsidRDefault="00025EA8">
      <w:pPr>
        <w:pStyle w:val="BodyText"/>
        <w:ind w:left="2880"/>
        <w:rPr>
          <w:sz w:val="24"/>
        </w:rPr>
      </w:pPr>
      <w:r>
        <w:rPr>
          <w:sz w:val="24"/>
        </w:rPr>
        <w:t>Accreditation criteria have been formulated by a number of agencies overseas.  Maldives may pr</w:t>
      </w:r>
      <w:r>
        <w:rPr>
          <w:sz w:val="24"/>
        </w:rPr>
        <w:t xml:space="preserve">ofit from </w:t>
      </w:r>
      <w:r>
        <w:rPr>
          <w:sz w:val="24"/>
        </w:rPr>
        <w:t>studying some of them.  In general, the follo</w:t>
      </w:r>
      <w:r>
        <w:rPr>
          <w:sz w:val="24"/>
        </w:rPr>
        <w:t>wing criteria are considered: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i/>
          <w:sz w:val="24"/>
        </w:rPr>
      </w:pPr>
      <w:r>
        <w:rPr>
          <w:i/>
          <w:sz w:val="24"/>
        </w:rPr>
        <w:t>Instit</w:t>
      </w:r>
      <w:r>
        <w:rPr>
          <w:i/>
          <w:sz w:val="24"/>
        </w:rPr>
        <w:t>utional commitment to its goal:</w:t>
      </w:r>
    </w:p>
    <w:p w:rsidR="00000000" w:rsidRDefault="00025EA8">
      <w:pPr>
        <w:pStyle w:val="BodyText"/>
        <w:numPr>
          <w:ilvl w:val="0"/>
          <w:numId w:val="8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Through specific statement of goals</w:t>
      </w:r>
    </w:p>
    <w:p w:rsidR="00000000" w:rsidRDefault="00025EA8">
      <w:pPr>
        <w:pStyle w:val="BodyText"/>
        <w:numPr>
          <w:ilvl w:val="0"/>
          <w:numId w:val="8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I</w:t>
      </w:r>
      <w:r>
        <w:rPr>
          <w:sz w:val="24"/>
        </w:rPr>
        <w:t>nfrastru</w:t>
      </w:r>
      <w:r>
        <w:rPr>
          <w:sz w:val="24"/>
        </w:rPr>
        <w:t>c</w:t>
      </w:r>
      <w:r>
        <w:rPr>
          <w:sz w:val="24"/>
        </w:rPr>
        <w:t xml:space="preserve">ture </w:t>
      </w:r>
      <w:r>
        <w:rPr>
          <w:sz w:val="24"/>
        </w:rPr>
        <w:t xml:space="preserve">facilities for </w:t>
      </w:r>
      <w:proofErr w:type="spellStart"/>
      <w:r>
        <w:rPr>
          <w:sz w:val="24"/>
        </w:rPr>
        <w:t>realisation</w:t>
      </w:r>
      <w:proofErr w:type="spellEnd"/>
      <w:r>
        <w:rPr>
          <w:sz w:val="24"/>
        </w:rPr>
        <w:t xml:space="preserve"> of goals (e.g. student space)</w:t>
      </w:r>
    </w:p>
    <w:p w:rsidR="00000000" w:rsidRDefault="00025EA8">
      <w:pPr>
        <w:pStyle w:val="BodyText"/>
        <w:numPr>
          <w:ilvl w:val="0"/>
          <w:numId w:val="8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E</w:t>
      </w:r>
      <w:r>
        <w:rPr>
          <w:sz w:val="24"/>
        </w:rPr>
        <w:t xml:space="preserve">xistence </w:t>
      </w:r>
      <w:r>
        <w:rPr>
          <w:sz w:val="24"/>
        </w:rPr>
        <w:t>and satisfact</w:t>
      </w:r>
      <w:r>
        <w:rPr>
          <w:sz w:val="24"/>
        </w:rPr>
        <w:t>o</w:t>
      </w:r>
      <w:r>
        <w:rPr>
          <w:sz w:val="24"/>
        </w:rPr>
        <w:t>ry performance on appropriate instruments.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i/>
          <w:sz w:val="24"/>
        </w:rPr>
      </w:pPr>
      <w:r>
        <w:rPr>
          <w:i/>
          <w:sz w:val="24"/>
        </w:rPr>
        <w:t>Administration</w:t>
      </w:r>
    </w:p>
    <w:p w:rsidR="00000000" w:rsidRDefault="00025EA8">
      <w:pPr>
        <w:pStyle w:val="BodyText"/>
        <w:numPr>
          <w:ilvl w:val="0"/>
          <w:numId w:val="9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Sensitive and responsive to institutional goals</w:t>
      </w:r>
    </w:p>
    <w:p w:rsidR="00000000" w:rsidRDefault="00025EA8">
      <w:pPr>
        <w:pStyle w:val="BodyText"/>
        <w:numPr>
          <w:ilvl w:val="0"/>
          <w:numId w:val="9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Climate of mutual support and confidence</w:t>
      </w:r>
    </w:p>
    <w:p w:rsidR="00000000" w:rsidRDefault="00025EA8">
      <w:pPr>
        <w:pStyle w:val="BodyText"/>
        <w:numPr>
          <w:ilvl w:val="0"/>
          <w:numId w:val="9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Effective communication between faculty and administration</w:t>
      </w:r>
    </w:p>
    <w:p w:rsidR="00000000" w:rsidRDefault="00025EA8">
      <w:pPr>
        <w:pStyle w:val="BodyText"/>
        <w:numPr>
          <w:ilvl w:val="0"/>
          <w:numId w:val="9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Faculty recruitment policies and practices</w:t>
      </w:r>
    </w:p>
    <w:p w:rsidR="00000000" w:rsidRDefault="00025EA8">
      <w:pPr>
        <w:pStyle w:val="BodyText"/>
        <w:numPr>
          <w:ilvl w:val="0"/>
          <w:numId w:val="9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Linkag</w:t>
      </w:r>
      <w:r>
        <w:rPr>
          <w:sz w:val="24"/>
        </w:rPr>
        <w:t>es with</w:t>
      </w:r>
      <w:r>
        <w:rPr>
          <w:sz w:val="24"/>
        </w:rPr>
        <w:t xml:space="preserve"> industry and professional societies</w:t>
      </w:r>
    </w:p>
    <w:p w:rsidR="00000000" w:rsidRDefault="00025EA8">
      <w:pPr>
        <w:pStyle w:val="BodyText"/>
        <w:numPr>
          <w:ilvl w:val="0"/>
          <w:numId w:val="9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Adherence to admission guidelines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i/>
          <w:sz w:val="24"/>
        </w:rPr>
      </w:pPr>
      <w:r>
        <w:rPr>
          <w:i/>
          <w:sz w:val="24"/>
        </w:rPr>
        <w:t>Curriculum Objectives</w:t>
      </w:r>
    </w:p>
    <w:p w:rsidR="00000000" w:rsidRDefault="00025EA8">
      <w:pPr>
        <w:pStyle w:val="BodyText"/>
        <w:numPr>
          <w:ilvl w:val="0"/>
          <w:numId w:val="10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Developing competent professionals</w:t>
      </w:r>
    </w:p>
    <w:p w:rsidR="00000000" w:rsidRDefault="00025EA8">
      <w:pPr>
        <w:pStyle w:val="BodyText"/>
        <w:numPr>
          <w:ilvl w:val="0"/>
          <w:numId w:val="10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Development of effective written and oral communica</w:t>
      </w:r>
      <w:r>
        <w:rPr>
          <w:sz w:val="24"/>
        </w:rPr>
        <w:t>t</w:t>
      </w:r>
      <w:r>
        <w:rPr>
          <w:sz w:val="24"/>
        </w:rPr>
        <w:t>i</w:t>
      </w:r>
      <w:r>
        <w:rPr>
          <w:sz w:val="24"/>
        </w:rPr>
        <w:t>on</w:t>
      </w:r>
    </w:p>
    <w:p w:rsidR="00000000" w:rsidRDefault="00025EA8">
      <w:pPr>
        <w:pStyle w:val="BodyText"/>
        <w:numPr>
          <w:ilvl w:val="0"/>
          <w:numId w:val="10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Development of critical thinking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i/>
          <w:sz w:val="24"/>
        </w:rPr>
      </w:pPr>
      <w:r>
        <w:rPr>
          <w:i/>
          <w:sz w:val="24"/>
        </w:rPr>
        <w:t>Faculty</w:t>
      </w:r>
    </w:p>
    <w:p w:rsidR="00000000" w:rsidRDefault="00025EA8">
      <w:pPr>
        <w:pStyle w:val="BodyText"/>
        <w:numPr>
          <w:ilvl w:val="0"/>
          <w:numId w:val="11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 xml:space="preserve">Strength adequate for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programme</w:t>
      </w:r>
      <w:proofErr w:type="spellEnd"/>
    </w:p>
    <w:p w:rsidR="00000000" w:rsidRDefault="00025EA8">
      <w:pPr>
        <w:pStyle w:val="BodyText"/>
        <w:numPr>
          <w:ilvl w:val="0"/>
          <w:numId w:val="11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Academic and professional attainments</w:t>
      </w:r>
    </w:p>
    <w:p w:rsidR="00000000" w:rsidRDefault="00025EA8">
      <w:pPr>
        <w:pStyle w:val="BodyText"/>
        <w:numPr>
          <w:ilvl w:val="0"/>
          <w:numId w:val="11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Interaction with industry, professional associations, etc.</w:t>
      </w:r>
    </w:p>
    <w:p w:rsidR="00000000" w:rsidRDefault="00025EA8">
      <w:pPr>
        <w:pStyle w:val="BodyText"/>
        <w:numPr>
          <w:ilvl w:val="0"/>
          <w:numId w:val="11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Innovation in teaching</w:t>
      </w:r>
      <w:r>
        <w:rPr>
          <w:sz w:val="24"/>
        </w:rPr>
        <w:t>,</w:t>
      </w:r>
      <w:r>
        <w:rPr>
          <w:sz w:val="24"/>
        </w:rPr>
        <w:t xml:space="preserve"> methodology and </w:t>
      </w:r>
      <w:r>
        <w:rPr>
          <w:sz w:val="24"/>
        </w:rPr>
        <w:t>educational strategies</w:t>
      </w:r>
    </w:p>
    <w:p w:rsidR="00000000" w:rsidRDefault="00025EA8">
      <w:pPr>
        <w:pStyle w:val="BodyText"/>
        <w:numPr>
          <w:ilvl w:val="0"/>
          <w:numId w:val="11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Student opinion</w:t>
      </w:r>
    </w:p>
    <w:p w:rsidR="00000000" w:rsidRDefault="00025EA8">
      <w:pPr>
        <w:pStyle w:val="BodyText"/>
        <w:numPr>
          <w:ilvl w:val="0"/>
          <w:numId w:val="11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Appraisal by peer group</w:t>
      </w:r>
    </w:p>
    <w:p w:rsidR="00000000" w:rsidRDefault="00025EA8">
      <w:pPr>
        <w:pStyle w:val="BodyText"/>
        <w:ind w:left="2880"/>
        <w:rPr>
          <w:sz w:val="24"/>
        </w:rPr>
      </w:pPr>
    </w:p>
    <w:p w:rsidR="00000000" w:rsidRDefault="00025EA8">
      <w:pPr>
        <w:pStyle w:val="BodyText"/>
        <w:ind w:left="2880"/>
        <w:rPr>
          <w:i/>
          <w:sz w:val="24"/>
        </w:rPr>
      </w:pPr>
      <w:r>
        <w:rPr>
          <w:i/>
          <w:sz w:val="24"/>
        </w:rPr>
        <w:t>Students</w:t>
      </w:r>
    </w:p>
    <w:p w:rsidR="00000000" w:rsidRDefault="00025EA8">
      <w:pPr>
        <w:pStyle w:val="BodyText"/>
        <w:numPr>
          <w:ilvl w:val="0"/>
          <w:numId w:val="12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Standards of admission</w:t>
      </w:r>
    </w:p>
    <w:p w:rsidR="00000000" w:rsidRDefault="00025EA8">
      <w:pPr>
        <w:pStyle w:val="BodyText"/>
        <w:numPr>
          <w:ilvl w:val="0"/>
          <w:numId w:val="12"/>
        </w:numPr>
        <w:tabs>
          <w:tab w:val="clear" w:pos="360"/>
          <w:tab w:val="num" w:pos="3240"/>
        </w:tabs>
        <w:ind w:left="3240"/>
        <w:rPr>
          <w:sz w:val="24"/>
        </w:rPr>
      </w:pPr>
      <w:r>
        <w:rPr>
          <w:sz w:val="24"/>
        </w:rPr>
        <w:t>P</w:t>
      </w:r>
      <w:r>
        <w:rPr>
          <w:sz w:val="24"/>
        </w:rPr>
        <w:t>erforman</w:t>
      </w:r>
      <w:r>
        <w:rPr>
          <w:sz w:val="24"/>
        </w:rPr>
        <w:t xml:space="preserve">ce </w:t>
      </w:r>
      <w:r>
        <w:rPr>
          <w:sz w:val="24"/>
        </w:rPr>
        <w:t xml:space="preserve">in the </w:t>
      </w:r>
      <w:proofErr w:type="spellStart"/>
      <w:r>
        <w:rPr>
          <w:sz w:val="24"/>
        </w:rPr>
        <w:t>programme</w:t>
      </w:r>
      <w:proofErr w:type="spellEnd"/>
    </w:p>
    <w:p w:rsidR="00000000" w:rsidRDefault="00025EA8">
      <w:pPr>
        <w:pStyle w:val="BodyText"/>
        <w:numPr>
          <w:ilvl w:val="0"/>
          <w:numId w:val="12"/>
        </w:numPr>
        <w:tabs>
          <w:tab w:val="clear" w:pos="360"/>
          <w:tab w:val="num" w:pos="3240"/>
        </w:tabs>
        <w:ind w:left="3240"/>
      </w:pPr>
      <w:r>
        <w:t>P</w:t>
      </w:r>
      <w:r>
        <w:t>ost-</w:t>
      </w:r>
      <w:r>
        <w:t>institutional performance</w:t>
      </w:r>
      <w:r>
        <w:t xml:space="preserve"> </w:t>
      </w:r>
    </w:p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/>
    <w:p w:rsidR="00000000" w:rsidRDefault="00025EA8">
      <w:r>
        <w:t xml:space="preserve"> </w:t>
      </w:r>
    </w:p>
    <w:p w:rsidR="00000000" w:rsidRDefault="00025EA8"/>
    <w:p w:rsidR="00000000" w:rsidRDefault="00025EA8">
      <w:pPr>
        <w:rPr>
          <w:rFonts w:ascii="Book Antiqua" w:hAnsi="Book Antiqua"/>
          <w:i/>
        </w:rPr>
      </w:pPr>
      <w:r>
        <w:rPr>
          <w:rFonts w:ascii="Book Antiqua" w:hAnsi="Book Antiqua"/>
          <w:i/>
        </w:rPr>
        <w:t>HH20121998.</w:t>
      </w:r>
      <w:bookmarkStart w:id="0" w:name="_GoBack"/>
      <w:bookmarkEnd w:id="0"/>
      <w:r w:rsidR="00AF5FF6">
        <w:rPr>
          <w:rFonts w:ascii="Book Antiqua" w:hAnsi="Book Antiqua"/>
          <w:i/>
        </w:rPr>
        <w:t xml:space="preserve"> </w:t>
      </w:r>
      <w:r>
        <w:rPr>
          <w:rFonts w:ascii="Book Antiqua" w:hAnsi="Book Antiqua"/>
          <w:i/>
        </w:rPr>
        <w:t>This version is dated 20</w:t>
      </w:r>
      <w:r>
        <w:rPr>
          <w:rFonts w:ascii="Book Antiqua" w:hAnsi="Book Antiqua"/>
          <w:i/>
          <w:vertAlign w:val="superscript"/>
        </w:rPr>
        <w:t>th</w:t>
      </w:r>
      <w:r>
        <w:rPr>
          <w:rFonts w:ascii="Book Antiqua" w:hAnsi="Book Antiqua"/>
          <w:i/>
        </w:rPr>
        <w:t xml:space="preserve"> </w:t>
      </w:r>
      <w:r>
        <w:rPr>
          <w:rFonts w:ascii="Book Antiqua" w:hAnsi="Book Antiqua"/>
          <w:i/>
        </w:rPr>
        <w:t>December 1998</w:t>
      </w:r>
    </w:p>
    <w:p w:rsidR="00000000" w:rsidRDefault="00025EA8"/>
    <w:sectPr w:rsidR="00000000">
      <w:pgSz w:w="11909" w:h="16834" w:code="9"/>
      <w:pgMar w:top="1152" w:right="1800" w:bottom="1152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25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C7D2BD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9E607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C2F32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920E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4BB22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F9128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230259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D1A56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F2A7BD9"/>
    <w:multiLevelType w:val="singleLevel"/>
    <w:tmpl w:val="243EB9BC"/>
    <w:lvl w:ilvl="0">
      <w:start w:val="1"/>
      <w:numFmt w:val="lowerLetter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A8762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D3D703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FF6"/>
    <w:rsid w:val="00025EA8"/>
    <w:rsid w:val="00AF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gray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 Black" w:hAnsi="Arial Black"/>
      <w:b/>
      <w:bCs/>
      <w:color w:val="C0C0C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1164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Qualifications Framework</vt:lpstr>
    </vt:vector>
  </TitlesOfParts>
  <Company>Comtronics</Company>
  <LinksUpToDate>false</LinksUpToDate>
  <CharactersWithSpaces>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Qualifications Framework</dc:title>
  <dc:subject/>
  <dc:creator>Dr.Hassan Hameed</dc:creator>
  <cp:keywords/>
  <cp:lastModifiedBy>user</cp:lastModifiedBy>
  <cp:revision>2</cp:revision>
  <cp:lastPrinted>1998-12-31T05:49:00Z</cp:lastPrinted>
  <dcterms:created xsi:type="dcterms:W3CDTF">2016-03-17T15:23:00Z</dcterms:created>
  <dcterms:modified xsi:type="dcterms:W3CDTF">2016-03-17T15:23:00Z</dcterms:modified>
</cp:coreProperties>
</file>